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DD998" w14:textId="77777777" w:rsidR="00464E6E" w:rsidRDefault="00464E6E" w:rsidP="00642E4D">
      <w:pPr>
        <w:jc w:val="center"/>
      </w:pPr>
    </w:p>
    <w:p w14:paraId="433CC0EA" w14:textId="77777777" w:rsidR="00642E4D" w:rsidRDefault="00642E4D" w:rsidP="00642E4D">
      <w:pPr>
        <w:jc w:val="center"/>
      </w:pPr>
    </w:p>
    <w:p w14:paraId="7B3A4A38" w14:textId="77777777" w:rsidR="00642E4D" w:rsidRDefault="00642E4D" w:rsidP="00642E4D">
      <w:pPr>
        <w:jc w:val="center"/>
      </w:pPr>
    </w:p>
    <w:p w14:paraId="1C732E10" w14:textId="77777777" w:rsidR="00642E4D" w:rsidRDefault="00642E4D" w:rsidP="00642E4D">
      <w:pPr>
        <w:jc w:val="center"/>
      </w:pPr>
    </w:p>
    <w:p w14:paraId="5FE2ADB7" w14:textId="77777777" w:rsidR="00642E4D" w:rsidRDefault="00642E4D" w:rsidP="00642E4D">
      <w:pPr>
        <w:jc w:val="center"/>
      </w:pPr>
    </w:p>
    <w:p w14:paraId="2BA89DBE" w14:textId="77777777" w:rsidR="00642E4D" w:rsidRDefault="00642E4D" w:rsidP="00642E4D">
      <w:pPr>
        <w:jc w:val="center"/>
      </w:pPr>
    </w:p>
    <w:p w14:paraId="00922B81" w14:textId="77777777" w:rsidR="00642E4D" w:rsidRDefault="00642E4D" w:rsidP="00642E4D">
      <w:pPr>
        <w:jc w:val="center"/>
      </w:pPr>
    </w:p>
    <w:p w14:paraId="2ACB2B1F" w14:textId="77777777" w:rsidR="00642E4D" w:rsidRDefault="00642E4D" w:rsidP="00642E4D">
      <w:pPr>
        <w:jc w:val="center"/>
      </w:pPr>
    </w:p>
    <w:p w14:paraId="34FB6807" w14:textId="77777777" w:rsidR="00642E4D" w:rsidRDefault="00642E4D" w:rsidP="00642E4D">
      <w:pPr>
        <w:jc w:val="center"/>
      </w:pPr>
    </w:p>
    <w:p w14:paraId="7EC99A59" w14:textId="77777777" w:rsidR="00642E4D" w:rsidRDefault="00642E4D" w:rsidP="00E46880"/>
    <w:p w14:paraId="26FC4FBA" w14:textId="77777777" w:rsidR="00642E4D" w:rsidRDefault="00642E4D" w:rsidP="00642E4D">
      <w:pPr>
        <w:jc w:val="center"/>
      </w:pPr>
    </w:p>
    <w:p w14:paraId="539A9A0E" w14:textId="77777777" w:rsidR="00642E4D" w:rsidRDefault="00642E4D" w:rsidP="00642E4D">
      <w:pPr>
        <w:jc w:val="center"/>
      </w:pPr>
    </w:p>
    <w:p w14:paraId="55F28605" w14:textId="77777777" w:rsidR="00642E4D" w:rsidRDefault="00642E4D" w:rsidP="00642E4D">
      <w:pPr>
        <w:spacing w:line="360" w:lineRule="auto"/>
        <w:jc w:val="center"/>
      </w:pPr>
    </w:p>
    <w:p w14:paraId="3D15F4DE" w14:textId="77777777" w:rsidR="00E46880" w:rsidRDefault="00E46880" w:rsidP="00642E4D">
      <w:pPr>
        <w:spacing w:line="360" w:lineRule="auto"/>
        <w:jc w:val="center"/>
        <w:rPr>
          <w:rFonts w:ascii="Times" w:hAnsi="Times"/>
          <w:b/>
          <w:bCs/>
        </w:rPr>
      </w:pPr>
    </w:p>
    <w:p w14:paraId="0A842949" w14:textId="77777777" w:rsidR="00E46880" w:rsidRDefault="00E46880" w:rsidP="00642E4D">
      <w:pPr>
        <w:spacing w:line="360" w:lineRule="auto"/>
        <w:jc w:val="center"/>
        <w:rPr>
          <w:rFonts w:ascii="Times" w:hAnsi="Times"/>
          <w:b/>
          <w:bCs/>
        </w:rPr>
      </w:pPr>
    </w:p>
    <w:p w14:paraId="756DD1FA" w14:textId="15B3B622" w:rsidR="00642E4D" w:rsidRPr="00642E4D" w:rsidRDefault="00727F75" w:rsidP="00642E4D">
      <w:pPr>
        <w:spacing w:line="360" w:lineRule="auto"/>
        <w:jc w:val="center"/>
        <w:rPr>
          <w:rFonts w:ascii="Times" w:hAnsi="Times"/>
          <w:b/>
          <w:bCs/>
        </w:rPr>
      </w:pPr>
      <w:r>
        <w:rPr>
          <w:rFonts w:ascii="Times" w:hAnsi="Times"/>
          <w:b/>
          <w:bCs/>
          <w:color w:val="C00000"/>
        </w:rPr>
        <w:t xml:space="preserve">To Bleed or Not to Bleed: </w:t>
      </w:r>
      <w:r w:rsidR="00642E4D" w:rsidRPr="00727F75">
        <w:rPr>
          <w:rFonts w:ascii="Times" w:hAnsi="Times"/>
          <w:b/>
          <w:bCs/>
          <w:color w:val="000000" w:themeColor="text1"/>
        </w:rPr>
        <w:t xml:space="preserve">Period </w:t>
      </w:r>
      <w:r w:rsidR="00642E4D" w:rsidRPr="00642E4D">
        <w:rPr>
          <w:rFonts w:ascii="Times" w:hAnsi="Times"/>
          <w:b/>
          <w:bCs/>
        </w:rPr>
        <w:t xml:space="preserve">Poverty in </w:t>
      </w:r>
      <w:r w:rsidR="00E46880">
        <w:rPr>
          <w:rFonts w:ascii="Times" w:hAnsi="Times"/>
          <w:b/>
          <w:bCs/>
        </w:rPr>
        <w:t xml:space="preserve">an Age </w:t>
      </w:r>
      <w:r w:rsidR="00642E4D" w:rsidRPr="00642E4D">
        <w:rPr>
          <w:rFonts w:ascii="Times" w:hAnsi="Times"/>
          <w:b/>
          <w:bCs/>
        </w:rPr>
        <w:t>of Data Journalism</w:t>
      </w:r>
    </w:p>
    <w:p w14:paraId="4DD64A08" w14:textId="77777777" w:rsidR="00642E4D" w:rsidRDefault="00642E4D" w:rsidP="00642E4D">
      <w:pPr>
        <w:spacing w:line="360" w:lineRule="auto"/>
        <w:jc w:val="center"/>
        <w:rPr>
          <w:rFonts w:ascii="Times" w:hAnsi="Times"/>
        </w:rPr>
      </w:pPr>
    </w:p>
    <w:p w14:paraId="098460DC" w14:textId="77777777" w:rsidR="00E46880" w:rsidRDefault="00E46880" w:rsidP="00642E4D">
      <w:pPr>
        <w:spacing w:line="360" w:lineRule="auto"/>
        <w:jc w:val="center"/>
        <w:rPr>
          <w:rFonts w:ascii="Times" w:hAnsi="Times"/>
        </w:rPr>
      </w:pPr>
    </w:p>
    <w:p w14:paraId="0B5B792B" w14:textId="20141E7A" w:rsidR="00642E4D" w:rsidRDefault="00642E4D" w:rsidP="00642E4D">
      <w:pPr>
        <w:spacing w:line="360" w:lineRule="auto"/>
        <w:jc w:val="center"/>
        <w:rPr>
          <w:rFonts w:ascii="Times" w:hAnsi="Times"/>
        </w:rPr>
      </w:pPr>
      <w:r>
        <w:rPr>
          <w:rFonts w:ascii="Times" w:hAnsi="Times"/>
        </w:rPr>
        <w:t>Nat Baptist-Mohseni</w:t>
      </w:r>
    </w:p>
    <w:p w14:paraId="7AC29F3A" w14:textId="484D4C90" w:rsidR="00642E4D" w:rsidRDefault="00642E4D" w:rsidP="00642E4D">
      <w:pPr>
        <w:spacing w:line="360" w:lineRule="auto"/>
        <w:jc w:val="center"/>
        <w:rPr>
          <w:rFonts w:ascii="Times" w:hAnsi="Times"/>
        </w:rPr>
      </w:pPr>
      <w:r>
        <w:rPr>
          <w:rFonts w:ascii="Times" w:hAnsi="Times"/>
        </w:rPr>
        <w:t>PSYC 6135</w:t>
      </w:r>
      <w:r w:rsidR="00E46880">
        <w:rPr>
          <w:rFonts w:ascii="Times" w:hAnsi="Times"/>
        </w:rPr>
        <w:t>: Psychology of Data Visualization</w:t>
      </w:r>
    </w:p>
    <w:p w14:paraId="57D3C9BD" w14:textId="69120507" w:rsidR="00642E4D" w:rsidRDefault="00E46880" w:rsidP="00642E4D">
      <w:pPr>
        <w:spacing w:line="360" w:lineRule="auto"/>
        <w:jc w:val="center"/>
        <w:rPr>
          <w:rFonts w:ascii="Times" w:hAnsi="Times"/>
        </w:rPr>
      </w:pPr>
      <w:r>
        <w:rPr>
          <w:rFonts w:ascii="Times" w:hAnsi="Times"/>
        </w:rPr>
        <w:t xml:space="preserve">Dr. </w:t>
      </w:r>
      <w:r w:rsidR="00642E4D">
        <w:rPr>
          <w:rFonts w:ascii="Times" w:hAnsi="Times"/>
        </w:rPr>
        <w:t>Michael Friendly</w:t>
      </w:r>
    </w:p>
    <w:p w14:paraId="06FFAFBB" w14:textId="5DD3D8B1" w:rsidR="00642E4D" w:rsidRDefault="00642E4D" w:rsidP="00642E4D">
      <w:pPr>
        <w:spacing w:line="360" w:lineRule="auto"/>
        <w:jc w:val="center"/>
        <w:rPr>
          <w:rFonts w:ascii="Times" w:hAnsi="Times"/>
        </w:rPr>
      </w:pPr>
      <w:r>
        <w:rPr>
          <w:rFonts w:ascii="Times" w:hAnsi="Times"/>
        </w:rPr>
        <w:t>May 15, 2024</w:t>
      </w:r>
    </w:p>
    <w:p w14:paraId="2EA9D67D" w14:textId="77777777" w:rsidR="00642E4D" w:rsidRDefault="00642E4D" w:rsidP="00642E4D">
      <w:pPr>
        <w:spacing w:line="360" w:lineRule="auto"/>
        <w:jc w:val="center"/>
        <w:rPr>
          <w:rFonts w:ascii="Times" w:hAnsi="Times"/>
        </w:rPr>
      </w:pPr>
    </w:p>
    <w:p w14:paraId="530AD231" w14:textId="77777777" w:rsidR="00642E4D" w:rsidRDefault="00642E4D" w:rsidP="00642E4D">
      <w:pPr>
        <w:spacing w:line="360" w:lineRule="auto"/>
        <w:jc w:val="center"/>
        <w:rPr>
          <w:rFonts w:ascii="Times" w:hAnsi="Times"/>
        </w:rPr>
      </w:pPr>
    </w:p>
    <w:p w14:paraId="51E7D61E" w14:textId="77777777" w:rsidR="00642E4D" w:rsidRDefault="00642E4D" w:rsidP="00642E4D">
      <w:pPr>
        <w:spacing w:line="360" w:lineRule="auto"/>
        <w:jc w:val="center"/>
        <w:rPr>
          <w:rFonts w:ascii="Times" w:hAnsi="Times"/>
        </w:rPr>
      </w:pPr>
    </w:p>
    <w:p w14:paraId="254EC50D" w14:textId="77777777" w:rsidR="00642E4D" w:rsidRDefault="00642E4D" w:rsidP="00642E4D">
      <w:pPr>
        <w:spacing w:line="360" w:lineRule="auto"/>
        <w:jc w:val="center"/>
        <w:rPr>
          <w:rFonts w:ascii="Times" w:hAnsi="Times"/>
        </w:rPr>
      </w:pPr>
    </w:p>
    <w:p w14:paraId="0ABBC109" w14:textId="77777777" w:rsidR="00642E4D" w:rsidRDefault="00642E4D" w:rsidP="00642E4D">
      <w:pPr>
        <w:spacing w:line="360" w:lineRule="auto"/>
        <w:jc w:val="center"/>
        <w:rPr>
          <w:rFonts w:ascii="Times" w:hAnsi="Times"/>
        </w:rPr>
      </w:pPr>
    </w:p>
    <w:p w14:paraId="122C50F2" w14:textId="77777777" w:rsidR="00642E4D" w:rsidRDefault="00642E4D" w:rsidP="00642E4D">
      <w:pPr>
        <w:spacing w:line="360" w:lineRule="auto"/>
        <w:jc w:val="center"/>
        <w:rPr>
          <w:rFonts w:ascii="Times" w:hAnsi="Times"/>
        </w:rPr>
      </w:pPr>
    </w:p>
    <w:p w14:paraId="6D532E86" w14:textId="77777777" w:rsidR="00642E4D" w:rsidRDefault="00642E4D" w:rsidP="00642E4D">
      <w:pPr>
        <w:spacing w:line="360" w:lineRule="auto"/>
        <w:jc w:val="center"/>
        <w:rPr>
          <w:rFonts w:ascii="Times" w:hAnsi="Times"/>
        </w:rPr>
      </w:pPr>
    </w:p>
    <w:p w14:paraId="6C56E0FA" w14:textId="77777777" w:rsidR="00642E4D" w:rsidRDefault="00642E4D" w:rsidP="00642E4D">
      <w:pPr>
        <w:spacing w:line="360" w:lineRule="auto"/>
        <w:jc w:val="center"/>
        <w:rPr>
          <w:rFonts w:ascii="Times" w:hAnsi="Times"/>
        </w:rPr>
      </w:pPr>
    </w:p>
    <w:p w14:paraId="49056801" w14:textId="77777777" w:rsidR="00642E4D" w:rsidRDefault="00642E4D" w:rsidP="00642E4D">
      <w:pPr>
        <w:spacing w:line="360" w:lineRule="auto"/>
        <w:jc w:val="center"/>
        <w:rPr>
          <w:rFonts w:ascii="Times" w:hAnsi="Times"/>
        </w:rPr>
      </w:pPr>
    </w:p>
    <w:p w14:paraId="48A05B61" w14:textId="77777777" w:rsidR="00642E4D" w:rsidRDefault="00642E4D" w:rsidP="00642E4D">
      <w:pPr>
        <w:spacing w:line="360" w:lineRule="auto"/>
        <w:jc w:val="center"/>
        <w:rPr>
          <w:rFonts w:ascii="Times" w:hAnsi="Times"/>
        </w:rPr>
      </w:pPr>
    </w:p>
    <w:p w14:paraId="54E1E2E2" w14:textId="77777777" w:rsidR="00642E4D" w:rsidRDefault="00642E4D" w:rsidP="00642E4D">
      <w:pPr>
        <w:spacing w:line="360" w:lineRule="auto"/>
        <w:jc w:val="center"/>
        <w:rPr>
          <w:rFonts w:ascii="Times" w:hAnsi="Times"/>
        </w:rPr>
      </w:pPr>
    </w:p>
    <w:p w14:paraId="4EA7503C" w14:textId="77777777" w:rsidR="00642E4D" w:rsidRDefault="00642E4D" w:rsidP="00E46880">
      <w:pPr>
        <w:spacing w:line="360" w:lineRule="auto"/>
        <w:rPr>
          <w:rFonts w:ascii="Times" w:hAnsi="Times"/>
        </w:rPr>
      </w:pPr>
    </w:p>
    <w:p w14:paraId="4235188D" w14:textId="4E4D9E03" w:rsidR="008414E1" w:rsidRPr="00642E4D" w:rsidRDefault="00642E4D" w:rsidP="008414E1">
      <w:pPr>
        <w:spacing w:line="360" w:lineRule="auto"/>
        <w:jc w:val="center"/>
        <w:rPr>
          <w:rFonts w:ascii="Times" w:hAnsi="Times"/>
          <w:b/>
          <w:bCs/>
        </w:rPr>
      </w:pPr>
      <w:r>
        <w:rPr>
          <w:rFonts w:ascii="Times" w:hAnsi="Times"/>
        </w:rPr>
        <w:lastRenderedPageBreak/>
        <w:tab/>
      </w:r>
      <w:r w:rsidR="00727F75">
        <w:rPr>
          <w:rFonts w:ascii="Times" w:hAnsi="Times"/>
          <w:b/>
          <w:bCs/>
          <w:color w:val="C00000"/>
        </w:rPr>
        <w:t xml:space="preserve">To Bleed or Not to Bleed: </w:t>
      </w:r>
      <w:r w:rsidR="00727F75" w:rsidRPr="00727F75">
        <w:rPr>
          <w:rFonts w:ascii="Times" w:hAnsi="Times"/>
          <w:b/>
          <w:bCs/>
          <w:color w:val="000000" w:themeColor="text1"/>
        </w:rPr>
        <w:t xml:space="preserve">Period </w:t>
      </w:r>
      <w:r w:rsidR="008414E1" w:rsidRPr="00642E4D">
        <w:rPr>
          <w:rFonts w:ascii="Times" w:hAnsi="Times"/>
          <w:b/>
          <w:bCs/>
        </w:rPr>
        <w:t xml:space="preserve">Poverty in </w:t>
      </w:r>
      <w:r w:rsidR="008414E1">
        <w:rPr>
          <w:rFonts w:ascii="Times" w:hAnsi="Times"/>
          <w:b/>
          <w:bCs/>
        </w:rPr>
        <w:t xml:space="preserve">an Age </w:t>
      </w:r>
      <w:r w:rsidR="008414E1" w:rsidRPr="00642E4D">
        <w:rPr>
          <w:rFonts w:ascii="Times" w:hAnsi="Times"/>
          <w:b/>
          <w:bCs/>
        </w:rPr>
        <w:t>of Data Journalism</w:t>
      </w:r>
    </w:p>
    <w:p w14:paraId="126B6B91" w14:textId="77777777" w:rsidR="00727F75" w:rsidRDefault="00727F75" w:rsidP="008414E1">
      <w:pPr>
        <w:spacing w:line="360" w:lineRule="auto"/>
        <w:ind w:firstLine="720"/>
        <w:rPr>
          <w:rFonts w:ascii="Times" w:hAnsi="Times"/>
        </w:rPr>
      </w:pPr>
    </w:p>
    <w:p w14:paraId="3AF99774" w14:textId="60C2B7C1" w:rsidR="008414E1" w:rsidRDefault="00727F75" w:rsidP="008414E1">
      <w:pPr>
        <w:spacing w:line="360" w:lineRule="auto"/>
        <w:ind w:firstLine="720"/>
        <w:rPr>
          <w:rFonts w:ascii="Times" w:hAnsi="Times"/>
        </w:rPr>
      </w:pPr>
      <w:r>
        <w:rPr>
          <w:rFonts w:ascii="Times" w:hAnsi="Times"/>
        </w:rPr>
        <w:t xml:space="preserve">In an era of acceptance and understanding, it is time to crush the taboo around menstrual health. </w:t>
      </w:r>
      <w:r w:rsidR="008414E1">
        <w:rPr>
          <w:rFonts w:ascii="Times" w:hAnsi="Times"/>
        </w:rPr>
        <w:t>It is estimated that as many as 1.9 billion individuals experience menstruation every month</w:t>
      </w:r>
      <w:r>
        <w:rPr>
          <w:rFonts w:ascii="Times" w:hAnsi="Times"/>
        </w:rPr>
        <w:t xml:space="preserve"> – so why are we so uncomfortable with period talk? A longstanding history of stigmatization surrounds this natural, biological process, and women and others who menstruate continue to face a devastatingly low amount of support when it comes to managing and understanding their period.</w:t>
      </w:r>
      <w:r w:rsidR="008414E1">
        <w:rPr>
          <w:rFonts w:ascii="Times" w:hAnsi="Times"/>
        </w:rPr>
        <w:t xml:space="preserve"> </w:t>
      </w:r>
      <w:r>
        <w:rPr>
          <w:rFonts w:ascii="Times" w:hAnsi="Times"/>
        </w:rPr>
        <w:t>This avoidance coupled with expenses associated with menstrual and reproductive healthcare has placed women and others in a highly inequitable position. The term ‘period poverty’ has been used to describe the decreased accessibility or affordability to menstrual products, reproductive and sexual health resources, necessary facilities (e.g., toilets), pain management medications, and safe and sanitary product disposal (</w:t>
      </w:r>
      <w:r w:rsidRPr="00551AFC">
        <w:rPr>
          <w:rFonts w:ascii="Times" w:hAnsi="Times"/>
        </w:rPr>
        <w:t>Rodriguez</w:t>
      </w:r>
      <w:r w:rsidR="00551AFC" w:rsidRPr="00551AFC">
        <w:rPr>
          <w:rFonts w:ascii="Times" w:hAnsi="Times"/>
        </w:rPr>
        <w:t>, 2021;</w:t>
      </w:r>
      <w:r w:rsidR="00551AFC">
        <w:rPr>
          <w:rFonts w:ascii="Times" w:hAnsi="Times"/>
          <w:b/>
          <w:bCs/>
        </w:rPr>
        <w:t xml:space="preserve"> </w:t>
      </w:r>
      <w:r w:rsidR="00551AFC" w:rsidRPr="00551AFC">
        <w:rPr>
          <w:rFonts w:ascii="Times" w:hAnsi="Times"/>
          <w:color w:val="212121"/>
          <w:shd w:val="clear" w:color="auto" w:fill="FFFFFF"/>
        </w:rPr>
        <w:t>Vardapetyan</w:t>
      </w:r>
      <w:r w:rsidR="00551AFC">
        <w:rPr>
          <w:rFonts w:ascii="Times" w:hAnsi="Times"/>
          <w:color w:val="212121"/>
          <w:shd w:val="clear" w:color="auto" w:fill="FFFFFF"/>
        </w:rPr>
        <w:t>, 2021</w:t>
      </w:r>
      <w:r>
        <w:rPr>
          <w:rFonts w:ascii="Times" w:hAnsi="Times"/>
        </w:rPr>
        <w:t>). The i</w:t>
      </w:r>
      <w:r w:rsidR="0069624F">
        <w:rPr>
          <w:rFonts w:ascii="Times" w:hAnsi="Times"/>
        </w:rPr>
        <w:t>mplications</w:t>
      </w:r>
      <w:r w:rsidR="008414E1">
        <w:rPr>
          <w:rFonts w:ascii="Times" w:hAnsi="Times"/>
        </w:rPr>
        <w:t xml:space="preserve"> </w:t>
      </w:r>
      <w:r>
        <w:rPr>
          <w:rFonts w:ascii="Times" w:hAnsi="Times"/>
        </w:rPr>
        <w:t xml:space="preserve">of </w:t>
      </w:r>
      <w:r w:rsidR="0069624F">
        <w:rPr>
          <w:rFonts w:ascii="Times" w:hAnsi="Times"/>
        </w:rPr>
        <w:t>period poverty</w:t>
      </w:r>
      <w:r w:rsidR="008414E1">
        <w:rPr>
          <w:rFonts w:ascii="Times" w:hAnsi="Times"/>
        </w:rPr>
        <w:t xml:space="preserve"> </w:t>
      </w:r>
      <w:r>
        <w:rPr>
          <w:rFonts w:ascii="Times" w:hAnsi="Times"/>
        </w:rPr>
        <w:t>are</w:t>
      </w:r>
      <w:r w:rsidR="0069624F">
        <w:rPr>
          <w:rFonts w:ascii="Times" w:hAnsi="Times"/>
        </w:rPr>
        <w:t xml:space="preserve"> </w:t>
      </w:r>
      <w:r w:rsidR="008414E1">
        <w:rPr>
          <w:rFonts w:ascii="Times" w:hAnsi="Times"/>
        </w:rPr>
        <w:t>multi-faceted</w:t>
      </w:r>
      <w:r w:rsidR="0069624F">
        <w:rPr>
          <w:rFonts w:ascii="Times" w:hAnsi="Times"/>
        </w:rPr>
        <w:t xml:space="preserve">, and </w:t>
      </w:r>
      <w:r>
        <w:rPr>
          <w:rFonts w:ascii="Times" w:hAnsi="Times"/>
        </w:rPr>
        <w:t xml:space="preserve">menstrual inequity </w:t>
      </w:r>
      <w:r w:rsidR="008414E1">
        <w:rPr>
          <w:rFonts w:ascii="Times" w:hAnsi="Times"/>
        </w:rPr>
        <w:t>place</w:t>
      </w:r>
      <w:r>
        <w:rPr>
          <w:rFonts w:ascii="Times" w:hAnsi="Times"/>
        </w:rPr>
        <w:t>s</w:t>
      </w:r>
      <w:r w:rsidR="008414E1">
        <w:rPr>
          <w:rFonts w:ascii="Times" w:hAnsi="Times"/>
        </w:rPr>
        <w:t xml:space="preserve"> an increased economic vulnerability on women and others who menstruate</w:t>
      </w:r>
      <w:r>
        <w:rPr>
          <w:rFonts w:ascii="Times" w:hAnsi="Times"/>
        </w:rPr>
        <w:t xml:space="preserve">. </w:t>
      </w:r>
    </w:p>
    <w:p w14:paraId="564C5B95" w14:textId="6B085B0A" w:rsidR="001F6F81" w:rsidRDefault="00727F75" w:rsidP="00727F75">
      <w:pPr>
        <w:spacing w:line="360" w:lineRule="auto"/>
        <w:ind w:firstLine="720"/>
        <w:rPr>
          <w:rFonts w:ascii="Times" w:hAnsi="Times"/>
        </w:rPr>
      </w:pPr>
      <w:r w:rsidRPr="00727F75">
        <w:rPr>
          <w:rFonts w:ascii="Times" w:hAnsi="Times"/>
        </w:rPr>
        <w:t xml:space="preserve">Despite the significance menstrual inequity has on the wellbeing of many, efforts targeting period poverty are largely initiated by not-for-profit organizations. Charities such as PERIOD. and The Period Purse are amongst many organizations working to provide access to resources related to menstrual health. These </w:t>
      </w:r>
      <w:r>
        <w:rPr>
          <w:rFonts w:ascii="Times" w:hAnsi="Times"/>
        </w:rPr>
        <w:t>charities</w:t>
      </w:r>
      <w:r w:rsidRPr="00727F75">
        <w:rPr>
          <w:rFonts w:ascii="Times" w:hAnsi="Times"/>
        </w:rPr>
        <w:t xml:space="preserve"> </w:t>
      </w:r>
      <w:r w:rsidR="001F6F81">
        <w:rPr>
          <w:rFonts w:ascii="Times" w:hAnsi="Times"/>
        </w:rPr>
        <w:t>push to</w:t>
      </w:r>
      <w:r w:rsidRPr="00727F75">
        <w:rPr>
          <w:rFonts w:ascii="Times" w:hAnsi="Times"/>
        </w:rPr>
        <w:t xml:space="preserve"> destigmatize menstruation by educating individuals on the ‘period process’ while imploring institutions and governments to provide access to free products</w:t>
      </w:r>
      <w:r w:rsidR="001F6F81">
        <w:rPr>
          <w:rFonts w:ascii="Times" w:hAnsi="Times"/>
        </w:rPr>
        <w:t xml:space="preserve">. These </w:t>
      </w:r>
      <w:r w:rsidR="00E06B76">
        <w:rPr>
          <w:rFonts w:ascii="Times" w:hAnsi="Times"/>
        </w:rPr>
        <w:t>goals</w:t>
      </w:r>
      <w:r w:rsidR="001F6F81">
        <w:rPr>
          <w:rFonts w:ascii="Times" w:hAnsi="Times"/>
        </w:rPr>
        <w:t xml:space="preserve"> are supported by </w:t>
      </w:r>
      <w:r w:rsidR="00E06B76">
        <w:rPr>
          <w:rFonts w:ascii="Times" w:hAnsi="Times"/>
        </w:rPr>
        <w:t>data these</w:t>
      </w:r>
      <w:r w:rsidR="00EF5C9B">
        <w:rPr>
          <w:rFonts w:ascii="Times" w:hAnsi="Times"/>
        </w:rPr>
        <w:t xml:space="preserve"> organizations </w:t>
      </w:r>
      <w:r w:rsidR="00E06B76">
        <w:rPr>
          <w:rFonts w:ascii="Times" w:hAnsi="Times"/>
        </w:rPr>
        <w:t xml:space="preserve">collect via </w:t>
      </w:r>
      <w:r w:rsidR="00EF5C9B">
        <w:rPr>
          <w:rFonts w:ascii="Times" w:hAnsi="Times"/>
        </w:rPr>
        <w:t>survey questionnaires</w:t>
      </w:r>
      <w:r w:rsidR="001F6F81">
        <w:rPr>
          <w:rFonts w:ascii="Times" w:hAnsi="Times"/>
        </w:rPr>
        <w:t xml:space="preserve">; however, concerns surrounding potential </w:t>
      </w:r>
      <w:r w:rsidR="00E06B76">
        <w:rPr>
          <w:rFonts w:ascii="Times" w:hAnsi="Times"/>
        </w:rPr>
        <w:t>sample bias</w:t>
      </w:r>
      <w:r w:rsidR="001F6F81">
        <w:rPr>
          <w:rFonts w:ascii="Times" w:hAnsi="Times"/>
        </w:rPr>
        <w:t xml:space="preserve"> </w:t>
      </w:r>
      <w:r w:rsidR="00E06B76">
        <w:rPr>
          <w:rFonts w:ascii="Times" w:hAnsi="Times"/>
        </w:rPr>
        <w:t xml:space="preserve">and </w:t>
      </w:r>
      <w:r w:rsidR="008E7360">
        <w:rPr>
          <w:rFonts w:ascii="Times" w:hAnsi="Times"/>
        </w:rPr>
        <w:t>other</w:t>
      </w:r>
      <w:r w:rsidR="00E06B76">
        <w:rPr>
          <w:rFonts w:ascii="Times" w:hAnsi="Times"/>
        </w:rPr>
        <w:t xml:space="preserve"> methodology issues</w:t>
      </w:r>
      <w:r w:rsidR="001F6F81">
        <w:rPr>
          <w:rFonts w:ascii="Times" w:hAnsi="Times"/>
        </w:rPr>
        <w:t xml:space="preserve"> questions the </w:t>
      </w:r>
      <w:r w:rsidR="00977471">
        <w:rPr>
          <w:rFonts w:ascii="Times" w:hAnsi="Times"/>
        </w:rPr>
        <w:t>reliability of these</w:t>
      </w:r>
      <w:r w:rsidR="001F6F81">
        <w:rPr>
          <w:rFonts w:ascii="Times" w:hAnsi="Times"/>
        </w:rPr>
        <w:t xml:space="preserve"> reports (</w:t>
      </w:r>
      <w:r w:rsidR="00FE39CD" w:rsidRPr="008F314B">
        <w:rPr>
          <w:rFonts w:ascii="Times" w:hAnsi="Times" w:cs="Arial"/>
          <w:color w:val="222222"/>
          <w:shd w:val="clear" w:color="auto" w:fill="FFFFFF"/>
        </w:rPr>
        <w:t>Lee, Toory</w:t>
      </w:r>
      <w:r w:rsidR="00FE39CD">
        <w:rPr>
          <w:rFonts w:ascii="Times" w:hAnsi="Times" w:cs="Arial"/>
          <w:color w:val="222222"/>
          <w:shd w:val="clear" w:color="auto" w:fill="FFFFFF"/>
        </w:rPr>
        <w:t xml:space="preserve"> </w:t>
      </w:r>
      <w:r w:rsidR="00FE39CD" w:rsidRPr="008F314B">
        <w:rPr>
          <w:rFonts w:ascii="Times" w:hAnsi="Times" w:cs="Arial"/>
          <w:color w:val="222222"/>
          <w:shd w:val="clear" w:color="auto" w:fill="FFFFFF"/>
        </w:rPr>
        <w:t>&amp; Harrison</w:t>
      </w:r>
      <w:r w:rsidR="00FE39CD">
        <w:rPr>
          <w:rFonts w:ascii="Times" w:hAnsi="Times" w:cs="Arial"/>
          <w:color w:val="222222"/>
          <w:shd w:val="clear" w:color="auto" w:fill="FFFFFF"/>
        </w:rPr>
        <w:t>, 2024</w:t>
      </w:r>
      <w:r w:rsidR="001F6F81">
        <w:rPr>
          <w:rFonts w:ascii="Times" w:hAnsi="Times"/>
        </w:rPr>
        <w:t>).</w:t>
      </w:r>
      <w:r w:rsidRPr="00727F75">
        <w:rPr>
          <w:rFonts w:ascii="Times" w:hAnsi="Times"/>
        </w:rPr>
        <w:t xml:space="preserve"> </w:t>
      </w:r>
      <w:r w:rsidR="001F6F81">
        <w:rPr>
          <w:rFonts w:ascii="Times" w:hAnsi="Times"/>
        </w:rPr>
        <w:t>Beyond these concerns, not-for-profit</w:t>
      </w:r>
      <w:r>
        <w:rPr>
          <w:rFonts w:ascii="Times" w:hAnsi="Times"/>
        </w:rPr>
        <w:t xml:space="preserve"> efforts have served as the foundation for tearing down taboo</w:t>
      </w:r>
      <w:r w:rsidR="003216E6">
        <w:rPr>
          <w:rFonts w:ascii="Times" w:hAnsi="Times"/>
        </w:rPr>
        <w:t xml:space="preserve">. Unfortunately, resistance </w:t>
      </w:r>
      <w:r w:rsidR="00837FFD">
        <w:rPr>
          <w:rFonts w:ascii="Times" w:hAnsi="Times"/>
        </w:rPr>
        <w:t>exists towards</w:t>
      </w:r>
      <w:r w:rsidR="003216E6">
        <w:rPr>
          <w:rFonts w:ascii="Times" w:hAnsi="Times"/>
        </w:rPr>
        <w:t xml:space="preserve"> </w:t>
      </w:r>
      <w:r w:rsidR="00837FFD">
        <w:rPr>
          <w:rFonts w:ascii="Times" w:hAnsi="Times"/>
        </w:rPr>
        <w:t>dismantling</w:t>
      </w:r>
      <w:r w:rsidR="003216E6">
        <w:rPr>
          <w:rFonts w:ascii="Times" w:hAnsi="Times"/>
        </w:rPr>
        <w:t xml:space="preserve"> stigmatized beliefs </w:t>
      </w:r>
      <w:r w:rsidR="00837FFD">
        <w:rPr>
          <w:rFonts w:ascii="Times" w:hAnsi="Times"/>
        </w:rPr>
        <w:t>related to menses,  and this lack of understanding continues to perpetuate</w:t>
      </w:r>
      <w:r w:rsidR="003216E6">
        <w:rPr>
          <w:rFonts w:ascii="Times" w:hAnsi="Times"/>
        </w:rPr>
        <w:t xml:space="preserve"> global rates of </w:t>
      </w:r>
      <w:r w:rsidR="001F6F81">
        <w:rPr>
          <w:rFonts w:ascii="Times" w:hAnsi="Times"/>
        </w:rPr>
        <w:t xml:space="preserve">period poverty. </w:t>
      </w:r>
    </w:p>
    <w:p w14:paraId="33B15AAD" w14:textId="556F037D" w:rsidR="00727F75" w:rsidRDefault="001F6F81" w:rsidP="00727F75">
      <w:pPr>
        <w:spacing w:line="360" w:lineRule="auto"/>
        <w:ind w:firstLine="720"/>
        <w:rPr>
          <w:rFonts w:ascii="Times" w:hAnsi="Times"/>
          <w:highlight w:val="yellow"/>
        </w:rPr>
      </w:pPr>
      <w:r>
        <w:rPr>
          <w:rFonts w:ascii="Times" w:hAnsi="Times"/>
        </w:rPr>
        <w:t>In the face of this prejudice,</w:t>
      </w:r>
      <w:r w:rsidR="00727F75">
        <w:rPr>
          <w:rFonts w:ascii="Times" w:hAnsi="Times"/>
        </w:rPr>
        <w:t xml:space="preserve"> </w:t>
      </w:r>
      <w:r>
        <w:rPr>
          <w:rFonts w:ascii="Times" w:hAnsi="Times"/>
        </w:rPr>
        <w:t>p</w:t>
      </w:r>
      <w:r w:rsidR="00727F75">
        <w:rPr>
          <w:rFonts w:ascii="Times" w:hAnsi="Times"/>
        </w:rPr>
        <w:t xml:space="preserve">eer-review literature has begun to emerge in the past </w:t>
      </w:r>
      <w:r w:rsidR="00837FFD">
        <w:rPr>
          <w:rFonts w:ascii="Times" w:hAnsi="Times"/>
        </w:rPr>
        <w:t xml:space="preserve">two </w:t>
      </w:r>
      <w:r w:rsidR="00727F75">
        <w:rPr>
          <w:rFonts w:ascii="Times" w:hAnsi="Times"/>
        </w:rPr>
        <w:t>decade</w:t>
      </w:r>
      <w:r w:rsidR="00837FFD">
        <w:rPr>
          <w:rFonts w:ascii="Times" w:hAnsi="Times"/>
        </w:rPr>
        <w:t>s</w:t>
      </w:r>
      <w:r w:rsidR="00727F75">
        <w:rPr>
          <w:rFonts w:ascii="Times" w:hAnsi="Times"/>
        </w:rPr>
        <w:t xml:space="preserve">, with most studies using survey-based methods to gather opinions and experiences </w:t>
      </w:r>
      <w:r w:rsidR="00ED730A">
        <w:rPr>
          <w:rFonts w:ascii="Times" w:hAnsi="Times"/>
        </w:rPr>
        <w:t xml:space="preserve">individuals have had </w:t>
      </w:r>
      <w:r w:rsidR="00727F75">
        <w:rPr>
          <w:rFonts w:ascii="Times" w:hAnsi="Times"/>
        </w:rPr>
        <w:t>with menstrual inequity</w:t>
      </w:r>
      <w:r>
        <w:rPr>
          <w:rFonts w:ascii="Times" w:hAnsi="Times"/>
        </w:rPr>
        <w:t xml:space="preserve"> and the menses process</w:t>
      </w:r>
      <w:r w:rsidR="00727F75">
        <w:rPr>
          <w:rFonts w:ascii="Times" w:hAnsi="Times"/>
        </w:rPr>
        <w:t xml:space="preserve">. Although </w:t>
      </w:r>
      <w:r>
        <w:rPr>
          <w:rFonts w:ascii="Times" w:hAnsi="Times"/>
        </w:rPr>
        <w:t xml:space="preserve">this has contributed to </w:t>
      </w:r>
      <w:r w:rsidR="00CF40FE">
        <w:rPr>
          <w:rFonts w:ascii="Times" w:hAnsi="Times"/>
        </w:rPr>
        <w:t>efforts</w:t>
      </w:r>
      <w:r w:rsidR="00727F75">
        <w:rPr>
          <w:rFonts w:ascii="Times" w:hAnsi="Times"/>
        </w:rPr>
        <w:t xml:space="preserve"> </w:t>
      </w:r>
      <w:r w:rsidR="00330062">
        <w:rPr>
          <w:rFonts w:ascii="Times" w:hAnsi="Times"/>
        </w:rPr>
        <w:t>at</w:t>
      </w:r>
      <w:r w:rsidR="00727F75">
        <w:rPr>
          <w:rFonts w:ascii="Times" w:hAnsi="Times"/>
        </w:rPr>
        <w:t xml:space="preserve"> </w:t>
      </w:r>
      <w:r w:rsidR="00F57262">
        <w:rPr>
          <w:rFonts w:ascii="Times" w:hAnsi="Times"/>
        </w:rPr>
        <w:t>quantifying</w:t>
      </w:r>
      <w:r w:rsidR="00727F75">
        <w:rPr>
          <w:rFonts w:ascii="Times" w:hAnsi="Times"/>
        </w:rPr>
        <w:t xml:space="preserve"> the impact of period poverty, the data is limited</w:t>
      </w:r>
      <w:r>
        <w:rPr>
          <w:rFonts w:ascii="Times" w:hAnsi="Times"/>
        </w:rPr>
        <w:t xml:space="preserve"> and not readily accessible to policy makers and community members. </w:t>
      </w:r>
      <w:r w:rsidR="00330062">
        <w:rPr>
          <w:rFonts w:ascii="Times" w:hAnsi="Times"/>
        </w:rPr>
        <w:t>As such, menstrual</w:t>
      </w:r>
      <w:r w:rsidR="00727F75">
        <w:rPr>
          <w:rFonts w:ascii="Times" w:hAnsi="Times"/>
        </w:rPr>
        <w:t xml:space="preserve"> </w:t>
      </w:r>
      <w:r w:rsidR="00EE7C33">
        <w:rPr>
          <w:rFonts w:ascii="Times" w:hAnsi="Times"/>
        </w:rPr>
        <w:t>wellbeing</w:t>
      </w:r>
      <w:r w:rsidR="00727F75">
        <w:rPr>
          <w:rFonts w:ascii="Times" w:hAnsi="Times"/>
        </w:rPr>
        <w:t xml:space="preserve"> </w:t>
      </w:r>
      <w:r w:rsidR="00727F75">
        <w:rPr>
          <w:rFonts w:ascii="Times" w:hAnsi="Times"/>
        </w:rPr>
        <w:lastRenderedPageBreak/>
        <w:t xml:space="preserve">continues to be a </w:t>
      </w:r>
      <w:r w:rsidR="00727F75" w:rsidRPr="00727F75">
        <w:rPr>
          <w:rFonts w:ascii="Times" w:hAnsi="Times"/>
        </w:rPr>
        <w:t>global public health concern</w:t>
      </w:r>
      <w:r w:rsidR="00727F75">
        <w:rPr>
          <w:rFonts w:ascii="Times" w:hAnsi="Times"/>
        </w:rPr>
        <w:t xml:space="preserve"> that affects the physical, socioeconomic, and mental health of women and others (Sacca et al., 2023</w:t>
      </w:r>
      <w:r w:rsidR="0083474D">
        <w:rPr>
          <w:rFonts w:ascii="Times" w:hAnsi="Times"/>
        </w:rPr>
        <w:t>; Michel et al., 2022</w:t>
      </w:r>
      <w:r w:rsidR="00727F75">
        <w:rPr>
          <w:rFonts w:ascii="Times" w:hAnsi="Times"/>
        </w:rPr>
        <w:t>)</w:t>
      </w:r>
      <w:r w:rsidR="00ED730A">
        <w:rPr>
          <w:rFonts w:ascii="Times" w:hAnsi="Times"/>
        </w:rPr>
        <w:t xml:space="preserve">. </w:t>
      </w:r>
    </w:p>
    <w:p w14:paraId="45AF5AA2" w14:textId="57D6DCBF" w:rsidR="00492F94" w:rsidRDefault="0069624F" w:rsidP="00C3573C">
      <w:pPr>
        <w:spacing w:line="360" w:lineRule="auto"/>
        <w:ind w:firstLine="720"/>
        <w:rPr>
          <w:rFonts w:ascii="Times" w:hAnsi="Times"/>
        </w:rPr>
      </w:pPr>
      <w:r>
        <w:rPr>
          <w:rFonts w:ascii="Times" w:hAnsi="Times"/>
        </w:rPr>
        <w:t xml:space="preserve">Given the </w:t>
      </w:r>
      <w:r w:rsidR="00727F75">
        <w:rPr>
          <w:rFonts w:ascii="Times" w:hAnsi="Times"/>
        </w:rPr>
        <w:t xml:space="preserve">preliminary state of peer-review data and the current approach to </w:t>
      </w:r>
      <w:r w:rsidR="00AD7B81">
        <w:rPr>
          <w:rFonts w:ascii="Times" w:hAnsi="Times"/>
        </w:rPr>
        <w:t>knowledge translation</w:t>
      </w:r>
      <w:r w:rsidR="00727F75">
        <w:rPr>
          <w:rFonts w:ascii="Times" w:hAnsi="Times"/>
        </w:rPr>
        <w:t xml:space="preserve">, we propose a central long-form data journal story that operates on a virtual platform. </w:t>
      </w:r>
      <w:r w:rsidR="00ED730A">
        <w:rPr>
          <w:rFonts w:ascii="Times" w:hAnsi="Times"/>
        </w:rPr>
        <w:t>Technology and virtual reporting formats are some of the most popular and accessible ways to access information in the current digital climate, and using data journalism as a communication tool may serve as the catalyst to ultimately targeting period poverty. The</w:t>
      </w:r>
      <w:r w:rsidR="00727F75">
        <w:rPr>
          <w:rFonts w:ascii="Times" w:hAnsi="Times"/>
        </w:rPr>
        <w:t xml:space="preserve"> goal of this journal story is three-fold: to increase accessibility to information; to operate as a resource for government legislation and healthcare efforts; and to serve as a global reservoir for data to be collected through the use of </w:t>
      </w:r>
      <w:r w:rsidR="00AD7B81">
        <w:rPr>
          <w:rFonts w:ascii="Times" w:hAnsi="Times"/>
        </w:rPr>
        <w:t xml:space="preserve">website </w:t>
      </w:r>
      <w:r w:rsidR="00727F75">
        <w:rPr>
          <w:rFonts w:ascii="Times" w:hAnsi="Times"/>
        </w:rPr>
        <w:t xml:space="preserve">questionnaires. </w:t>
      </w:r>
      <w:r>
        <w:rPr>
          <w:rFonts w:ascii="Times" w:hAnsi="Times"/>
        </w:rPr>
        <w:t>As such, the</w:t>
      </w:r>
      <w:r w:rsidR="00642E4D">
        <w:rPr>
          <w:rFonts w:ascii="Times" w:hAnsi="Times"/>
        </w:rPr>
        <w:t xml:space="preserve"> </w:t>
      </w:r>
      <w:r>
        <w:rPr>
          <w:rFonts w:ascii="Times" w:hAnsi="Times"/>
        </w:rPr>
        <w:t>following</w:t>
      </w:r>
      <w:r w:rsidR="00642E4D">
        <w:rPr>
          <w:rFonts w:ascii="Times" w:hAnsi="Times"/>
        </w:rPr>
        <w:t xml:space="preserve"> </w:t>
      </w:r>
      <w:r>
        <w:rPr>
          <w:rFonts w:ascii="Times" w:hAnsi="Times"/>
        </w:rPr>
        <w:t>proposal</w:t>
      </w:r>
      <w:r w:rsidR="00642E4D">
        <w:rPr>
          <w:rFonts w:ascii="Times" w:hAnsi="Times"/>
        </w:rPr>
        <w:t xml:space="preserve"> aims to </w:t>
      </w:r>
      <w:r w:rsidR="00E55F00">
        <w:rPr>
          <w:rFonts w:ascii="Times" w:hAnsi="Times"/>
        </w:rPr>
        <w:t xml:space="preserve">1) </w:t>
      </w:r>
      <w:r w:rsidR="00642E4D">
        <w:rPr>
          <w:rFonts w:ascii="Times" w:hAnsi="Times"/>
        </w:rPr>
        <w:t xml:space="preserve">review </w:t>
      </w:r>
      <w:r w:rsidR="00727F75">
        <w:rPr>
          <w:rFonts w:ascii="Times" w:hAnsi="Times"/>
        </w:rPr>
        <w:t xml:space="preserve">socioeconomic barriers </w:t>
      </w:r>
      <w:r w:rsidR="00AD7B81">
        <w:rPr>
          <w:rFonts w:ascii="Times" w:hAnsi="Times"/>
        </w:rPr>
        <w:t>to</w:t>
      </w:r>
      <w:r w:rsidR="00727F75">
        <w:rPr>
          <w:rFonts w:ascii="Times" w:hAnsi="Times"/>
        </w:rPr>
        <w:t xml:space="preserve"> accessing </w:t>
      </w:r>
      <w:r w:rsidR="00E55F00">
        <w:rPr>
          <w:rFonts w:ascii="Times" w:hAnsi="Times"/>
        </w:rPr>
        <w:t>sanitary</w:t>
      </w:r>
      <w:r w:rsidR="00727F75">
        <w:rPr>
          <w:rFonts w:ascii="Times" w:hAnsi="Times"/>
        </w:rPr>
        <w:t xml:space="preserve"> products</w:t>
      </w:r>
      <w:r w:rsidR="00E55F00">
        <w:rPr>
          <w:rFonts w:ascii="Times" w:hAnsi="Times"/>
        </w:rPr>
        <w:t xml:space="preserve">, 2) discuss </w:t>
      </w:r>
      <w:r w:rsidR="00AD7B81">
        <w:rPr>
          <w:rFonts w:ascii="Times" w:hAnsi="Times"/>
        </w:rPr>
        <w:t xml:space="preserve">factors of wellbeing that are </w:t>
      </w:r>
      <w:r w:rsidR="00727F75">
        <w:rPr>
          <w:rFonts w:ascii="Times" w:hAnsi="Times"/>
        </w:rPr>
        <w:t>impacted by menstrual inequity</w:t>
      </w:r>
      <w:r w:rsidR="00E55F00">
        <w:rPr>
          <w:rFonts w:ascii="Times" w:hAnsi="Times"/>
        </w:rPr>
        <w:t>, 3) assess</w:t>
      </w:r>
      <w:r w:rsidR="00AD7B81">
        <w:rPr>
          <w:rFonts w:ascii="Times" w:hAnsi="Times"/>
        </w:rPr>
        <w:t xml:space="preserve"> </w:t>
      </w:r>
      <w:r w:rsidR="00ED730A">
        <w:rPr>
          <w:rFonts w:ascii="Times" w:hAnsi="Times"/>
        </w:rPr>
        <w:t>existing</w:t>
      </w:r>
      <w:r w:rsidR="00727F75">
        <w:rPr>
          <w:rFonts w:ascii="Times" w:hAnsi="Times"/>
        </w:rPr>
        <w:t xml:space="preserve"> </w:t>
      </w:r>
      <w:r w:rsidR="00ED730A">
        <w:rPr>
          <w:rFonts w:ascii="Times" w:hAnsi="Times"/>
        </w:rPr>
        <w:t xml:space="preserve">period poverty </w:t>
      </w:r>
      <w:r w:rsidR="00727F75">
        <w:rPr>
          <w:rFonts w:ascii="Times" w:hAnsi="Times"/>
        </w:rPr>
        <w:t>knowledge translation</w:t>
      </w:r>
      <w:r w:rsidR="00AD7B81">
        <w:rPr>
          <w:rFonts w:ascii="Times" w:hAnsi="Times"/>
        </w:rPr>
        <w:t xml:space="preserve"> </w:t>
      </w:r>
      <w:r w:rsidR="00ED730A">
        <w:rPr>
          <w:rFonts w:ascii="Times" w:hAnsi="Times"/>
        </w:rPr>
        <w:t>tools</w:t>
      </w:r>
      <w:r w:rsidR="00E55F00">
        <w:rPr>
          <w:rFonts w:ascii="Times" w:hAnsi="Times"/>
        </w:rPr>
        <w:t>, and 4) discuss an</w:t>
      </w:r>
      <w:r>
        <w:rPr>
          <w:rFonts w:ascii="Times" w:hAnsi="Times"/>
        </w:rPr>
        <w:t xml:space="preserve"> approach to creating an interactive long-form journal article</w:t>
      </w:r>
      <w:r w:rsidR="00727F75">
        <w:rPr>
          <w:rFonts w:ascii="Times" w:hAnsi="Times"/>
        </w:rPr>
        <w:t xml:space="preserve"> </w:t>
      </w:r>
      <w:r>
        <w:rPr>
          <w:rFonts w:ascii="Times" w:hAnsi="Times"/>
        </w:rPr>
        <w:t xml:space="preserve">with the goal to increase education, </w:t>
      </w:r>
      <w:r w:rsidR="00727F75">
        <w:rPr>
          <w:rFonts w:ascii="Times" w:hAnsi="Times"/>
        </w:rPr>
        <w:t>inspire</w:t>
      </w:r>
      <w:r>
        <w:rPr>
          <w:rFonts w:ascii="Times" w:hAnsi="Times"/>
        </w:rPr>
        <w:t xml:space="preserve"> future policies and legislation, and </w:t>
      </w:r>
      <w:r w:rsidR="00727F75">
        <w:rPr>
          <w:rFonts w:ascii="Times" w:hAnsi="Times"/>
        </w:rPr>
        <w:t xml:space="preserve">to systematically </w:t>
      </w:r>
      <w:r>
        <w:rPr>
          <w:rFonts w:ascii="Times" w:hAnsi="Times"/>
        </w:rPr>
        <w:t xml:space="preserve">collect data </w:t>
      </w:r>
      <w:r w:rsidR="00727F75">
        <w:rPr>
          <w:rFonts w:ascii="Times" w:hAnsi="Times"/>
        </w:rPr>
        <w:t>with the purpose of informing</w:t>
      </w:r>
      <w:r>
        <w:rPr>
          <w:rFonts w:ascii="Times" w:hAnsi="Times"/>
        </w:rPr>
        <w:t xml:space="preserve"> future peer-review research and intervention strategies.</w:t>
      </w:r>
      <w:r w:rsidR="00727F75">
        <w:rPr>
          <w:rFonts w:ascii="Times" w:hAnsi="Times"/>
        </w:rPr>
        <w:t xml:space="preserve"> </w:t>
      </w:r>
    </w:p>
    <w:p w14:paraId="604350D3" w14:textId="77777777" w:rsidR="005770DB" w:rsidRDefault="005770DB" w:rsidP="00C3573C">
      <w:pPr>
        <w:spacing w:line="360" w:lineRule="auto"/>
        <w:ind w:firstLine="720"/>
        <w:rPr>
          <w:rFonts w:ascii="Times" w:hAnsi="Times"/>
        </w:rPr>
      </w:pPr>
    </w:p>
    <w:p w14:paraId="5E86270F" w14:textId="78A995FE" w:rsidR="008414E1" w:rsidRDefault="00935589" w:rsidP="008414E1">
      <w:pPr>
        <w:spacing w:line="360" w:lineRule="auto"/>
        <w:jc w:val="center"/>
        <w:rPr>
          <w:rFonts w:ascii="Times" w:hAnsi="Times"/>
        </w:rPr>
      </w:pPr>
      <w:r>
        <w:rPr>
          <w:rFonts w:ascii="Times" w:hAnsi="Times"/>
        </w:rPr>
        <w:t xml:space="preserve">Period Poverty </w:t>
      </w:r>
      <w:r w:rsidR="005770DB">
        <w:rPr>
          <w:rFonts w:ascii="Times" w:hAnsi="Times"/>
        </w:rPr>
        <w:t xml:space="preserve">Economics and </w:t>
      </w:r>
      <w:r>
        <w:rPr>
          <w:rFonts w:ascii="Times" w:hAnsi="Times"/>
        </w:rPr>
        <w:t>Implications</w:t>
      </w:r>
    </w:p>
    <w:p w14:paraId="5E41B3D4" w14:textId="2C503A60" w:rsidR="00935589" w:rsidRDefault="00935589" w:rsidP="00935589">
      <w:pPr>
        <w:spacing w:line="360" w:lineRule="auto"/>
        <w:rPr>
          <w:rFonts w:ascii="Times" w:hAnsi="Times"/>
          <w:b/>
          <w:bCs/>
        </w:rPr>
      </w:pPr>
      <w:r w:rsidRPr="00935589">
        <w:rPr>
          <w:rFonts w:ascii="Times" w:hAnsi="Times"/>
          <w:b/>
          <w:bCs/>
        </w:rPr>
        <w:t>Financial Stress</w:t>
      </w:r>
    </w:p>
    <w:p w14:paraId="02871663" w14:textId="2F75E85B" w:rsidR="001F6F81" w:rsidRPr="002608E0" w:rsidRDefault="00D242C1" w:rsidP="001F6F81">
      <w:pPr>
        <w:spacing w:line="360" w:lineRule="auto"/>
        <w:rPr>
          <w:rFonts w:ascii="Times" w:hAnsi="Times"/>
          <w:b/>
          <w:bCs/>
        </w:rPr>
      </w:pPr>
      <w:r>
        <w:rPr>
          <w:rFonts w:ascii="Times" w:hAnsi="Times"/>
          <w:noProof/>
        </w:rPr>
        <w:drawing>
          <wp:anchor distT="0" distB="0" distL="114300" distR="114300" simplePos="0" relativeHeight="251676672" behindDoc="1" locked="0" layoutInCell="1" allowOverlap="1" wp14:anchorId="52D2F93E" wp14:editId="4EC32FDC">
            <wp:simplePos x="0" y="0"/>
            <wp:positionH relativeFrom="column">
              <wp:posOffset>3093085</wp:posOffset>
            </wp:positionH>
            <wp:positionV relativeFrom="paragraph">
              <wp:posOffset>1082878</wp:posOffset>
            </wp:positionV>
            <wp:extent cx="2927350" cy="1896110"/>
            <wp:effectExtent l="0" t="0" r="6350" b="0"/>
            <wp:wrapTight wrapText="bothSides">
              <wp:wrapPolygon edited="0">
                <wp:start x="0" y="0"/>
                <wp:lineTo x="0" y="21412"/>
                <wp:lineTo x="21553" y="21412"/>
                <wp:lineTo x="21553" y="0"/>
                <wp:lineTo x="0" y="0"/>
              </wp:wrapPolygon>
            </wp:wrapTight>
            <wp:docPr id="16694620" name="Picture 3"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620" name="Picture 3" descr="A pie chart with text and numbers&#10;&#10;Description automatically generated"/>
                    <pic:cNvPicPr/>
                  </pic:nvPicPr>
                  <pic:blipFill>
                    <a:blip r:embed="rId7">
                      <a:extLst>
                        <a:ext uri="{BEBA8EAE-BF5A-486C-A8C5-ECC9F3942E4B}">
                          <a14:imgProps xmlns:a14="http://schemas.microsoft.com/office/drawing/2010/main">
                            <a14:imgLayer r:embed="rId8">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927350" cy="1896110"/>
                    </a:xfrm>
                    <a:prstGeom prst="rect">
                      <a:avLst/>
                    </a:prstGeom>
                  </pic:spPr>
                </pic:pic>
              </a:graphicData>
            </a:graphic>
            <wp14:sizeRelH relativeFrom="page">
              <wp14:pctWidth>0</wp14:pctWidth>
            </wp14:sizeRelH>
            <wp14:sizeRelV relativeFrom="page">
              <wp14:pctHeight>0</wp14:pctHeight>
            </wp14:sizeRelV>
          </wp:anchor>
        </w:drawing>
      </w:r>
      <w:r w:rsidR="00385B79">
        <w:rPr>
          <w:rFonts w:ascii="Times" w:hAnsi="Times"/>
        </w:rPr>
        <w:tab/>
      </w:r>
      <w:r w:rsidR="001F6F81">
        <w:rPr>
          <w:rFonts w:ascii="Times" w:hAnsi="Times"/>
        </w:rPr>
        <w:t>Financial strain serves as the basis of period poverty, and affects</w:t>
      </w:r>
      <w:r w:rsidR="00385B79">
        <w:rPr>
          <w:rFonts w:ascii="Times" w:hAnsi="Times"/>
        </w:rPr>
        <w:t xml:space="preserve"> menstruating individuals </w:t>
      </w:r>
      <w:r w:rsidR="001F6F81">
        <w:rPr>
          <w:rFonts w:ascii="Times" w:hAnsi="Times"/>
        </w:rPr>
        <w:t>living within both</w:t>
      </w:r>
      <w:r w:rsidR="00385B79">
        <w:rPr>
          <w:rFonts w:ascii="Times" w:hAnsi="Times"/>
        </w:rPr>
        <w:t xml:space="preserve"> low </w:t>
      </w:r>
      <w:r w:rsidR="001F6F81">
        <w:rPr>
          <w:rFonts w:ascii="Times" w:hAnsi="Times"/>
        </w:rPr>
        <w:t>and</w:t>
      </w:r>
      <w:r w:rsidR="00385B79">
        <w:rPr>
          <w:rFonts w:ascii="Times" w:hAnsi="Times"/>
        </w:rPr>
        <w:t xml:space="preserve"> high income countries (Sacca</w:t>
      </w:r>
      <w:r w:rsidR="003118FA">
        <w:rPr>
          <w:rFonts w:ascii="Times" w:hAnsi="Times"/>
        </w:rPr>
        <w:t xml:space="preserve"> et al., 2023</w:t>
      </w:r>
      <w:r w:rsidR="00385B79">
        <w:rPr>
          <w:rFonts w:ascii="Times" w:hAnsi="Times"/>
        </w:rPr>
        <w:t xml:space="preserve">). In Canada, 17% of </w:t>
      </w:r>
      <w:r w:rsidR="001F6F81">
        <w:rPr>
          <w:rFonts w:ascii="Times" w:hAnsi="Times"/>
        </w:rPr>
        <w:t>individuals</w:t>
      </w:r>
      <w:r w:rsidR="00385B79">
        <w:rPr>
          <w:rFonts w:ascii="Times" w:hAnsi="Times"/>
        </w:rPr>
        <w:t xml:space="preserve"> who menstruate have experienced period poverty in their lifetime</w:t>
      </w:r>
      <w:r w:rsidR="001F6F81">
        <w:rPr>
          <w:rFonts w:ascii="Times" w:hAnsi="Times"/>
        </w:rPr>
        <w:t xml:space="preserve"> (</w:t>
      </w:r>
      <w:r w:rsidR="007906FF">
        <w:rPr>
          <w:rFonts w:ascii="Times" w:hAnsi="Times"/>
        </w:rPr>
        <w:t>Environics Research Canada, 2023</w:t>
      </w:r>
      <w:r w:rsidR="001F6F81">
        <w:rPr>
          <w:rFonts w:ascii="Times" w:hAnsi="Times"/>
        </w:rPr>
        <w:t>). T</w:t>
      </w:r>
      <w:r w:rsidR="00385B79">
        <w:rPr>
          <w:rFonts w:ascii="Times" w:hAnsi="Times"/>
        </w:rPr>
        <w:t xml:space="preserve">his </w:t>
      </w:r>
      <w:r w:rsidR="001F6F81">
        <w:rPr>
          <w:rFonts w:ascii="Times" w:hAnsi="Times"/>
        </w:rPr>
        <w:t xml:space="preserve">statistic </w:t>
      </w:r>
      <w:r w:rsidR="00385B79">
        <w:rPr>
          <w:rFonts w:ascii="Times" w:hAnsi="Times"/>
        </w:rPr>
        <w:t xml:space="preserve">increases to 25% </w:t>
      </w:r>
      <w:r w:rsidR="003118FA">
        <w:rPr>
          <w:rFonts w:ascii="Times" w:hAnsi="Times"/>
        </w:rPr>
        <w:t>for</w:t>
      </w:r>
      <w:r w:rsidR="00385B79">
        <w:rPr>
          <w:rFonts w:ascii="Times" w:hAnsi="Times"/>
        </w:rPr>
        <w:t xml:space="preserve"> Canadians </w:t>
      </w:r>
      <w:r w:rsidR="001F6F81">
        <w:rPr>
          <w:rFonts w:ascii="Times" w:hAnsi="Times"/>
        </w:rPr>
        <w:t>who have</w:t>
      </w:r>
      <w:r w:rsidR="00385B79">
        <w:rPr>
          <w:rFonts w:ascii="Times" w:hAnsi="Times"/>
        </w:rPr>
        <w:t xml:space="preserve"> an annual income below $40,000. </w:t>
      </w:r>
      <w:r w:rsidR="003118FA">
        <w:rPr>
          <w:rFonts w:ascii="Times" w:hAnsi="Times"/>
        </w:rPr>
        <w:t>Shockingly</w:t>
      </w:r>
      <w:r w:rsidR="001F6F81">
        <w:rPr>
          <w:rFonts w:ascii="Times" w:hAnsi="Times"/>
        </w:rPr>
        <w:t xml:space="preserve">, lifetime costs of sanitary products alone can range from $3,000 to $5,000 USD (Montano, 2018; Dave et al., 2022), and these rates continue to grow with the rise of inflation and higher cost-of-living circumstances. Important to note is that personal costs vary depending on an individual’s menstrual cycle (i.e., length, flow, and discomfort), product choice or preference, and additional costs including necessary medical </w:t>
      </w:r>
      <w:r w:rsidR="001F6F81">
        <w:rPr>
          <w:rFonts w:ascii="Times" w:hAnsi="Times"/>
        </w:rPr>
        <w:lastRenderedPageBreak/>
        <w:t xml:space="preserve">intervention. </w:t>
      </w:r>
      <w:r w:rsidR="000423C2">
        <w:rPr>
          <w:rFonts w:ascii="Times" w:hAnsi="Times"/>
        </w:rPr>
        <w:t>In light of</w:t>
      </w:r>
      <w:r w:rsidR="001F6F81">
        <w:rPr>
          <w:rFonts w:ascii="Times" w:hAnsi="Times"/>
        </w:rPr>
        <w:t xml:space="preserve"> these factors, balancing other costs of living while managing ‘menses finances’ leads to trade-offs and, ultimately, a struggle to access basic needs. </w:t>
      </w:r>
    </w:p>
    <w:p w14:paraId="123F3646" w14:textId="00B65E64" w:rsidR="00AD7B81" w:rsidRDefault="001F6F81" w:rsidP="00385B79">
      <w:pPr>
        <w:spacing w:line="360" w:lineRule="auto"/>
        <w:rPr>
          <w:rFonts w:ascii="Times" w:hAnsi="Times"/>
        </w:rPr>
      </w:pPr>
      <w:r>
        <w:rPr>
          <w:rFonts w:ascii="Times" w:hAnsi="Times"/>
        </w:rPr>
        <w:tab/>
      </w:r>
      <w:r w:rsidR="000423C2">
        <w:rPr>
          <w:rFonts w:ascii="Times" w:hAnsi="Times"/>
        </w:rPr>
        <w:t>Given</w:t>
      </w:r>
      <w:r w:rsidR="00EC20AF">
        <w:rPr>
          <w:rFonts w:ascii="Times" w:hAnsi="Times"/>
        </w:rPr>
        <w:t xml:space="preserve"> the </w:t>
      </w:r>
      <w:r>
        <w:rPr>
          <w:rFonts w:ascii="Times" w:hAnsi="Times"/>
        </w:rPr>
        <w:t xml:space="preserve">unaffordable nature of sanitary supplies and associated period products (e.g., pain medications, period underwear, etc.), individuals are often left having to choose between paying for menstrual supplies and other essentials. Environics Canada (2023) reports that one in five Canadians believe they will be unable to afford sanitary supplies in the upcoming year, with inflation serving as an additive </w:t>
      </w:r>
      <w:r w:rsidR="00F57262">
        <w:rPr>
          <w:rFonts w:ascii="Times" w:hAnsi="Times"/>
        </w:rPr>
        <w:t xml:space="preserve">concern to </w:t>
      </w:r>
      <w:r w:rsidR="003118FA">
        <w:rPr>
          <w:rFonts w:ascii="Times" w:hAnsi="Times"/>
        </w:rPr>
        <w:t>accessing basic menstrual resources</w:t>
      </w:r>
      <w:r>
        <w:rPr>
          <w:rFonts w:ascii="Times" w:hAnsi="Times"/>
        </w:rPr>
        <w:t xml:space="preserve">. Similarly, a survey administered by Plan International Canada </w:t>
      </w:r>
      <w:r w:rsidR="00296A2F">
        <w:rPr>
          <w:rFonts w:ascii="Times" w:hAnsi="Times"/>
        </w:rPr>
        <w:t xml:space="preserve">(2022) </w:t>
      </w:r>
      <w:r>
        <w:rPr>
          <w:rFonts w:ascii="Times" w:hAnsi="Times"/>
        </w:rPr>
        <w:t xml:space="preserve">outlined that in a sample of 1000 menstruating Canadians, 21% have struggled to access products for themselves or family members, and 25% have had to ration or extend the use of their menstrual products longer than is medically suggested. Importantly, period poverty and financial vulnerability disproportionately affects traditionally underrepresented or marginalized groups, including women, individuals who are experiencing homelessness or who are in precarious living circumstances, BIPOC individuals, the LGBTQ+ community, and youth receiving government-funded support and living facilities (Barrington et al., </w:t>
      </w:r>
      <w:r w:rsidR="009D4075">
        <w:rPr>
          <w:rFonts w:ascii="Times" w:hAnsi="Times"/>
        </w:rPr>
        <w:t>2021</w:t>
      </w:r>
      <w:r>
        <w:rPr>
          <w:rFonts w:ascii="Times" w:hAnsi="Times"/>
        </w:rPr>
        <w:t xml:space="preserve">; Rossouw &amp; Ross, 2021; National Advisory Council on Poverty, 2023). </w:t>
      </w:r>
      <w:r w:rsidR="00EE0538">
        <w:rPr>
          <w:rFonts w:ascii="Times" w:hAnsi="Times"/>
        </w:rPr>
        <w:t xml:space="preserve">Costs of products and access to healthcare also differ across </w:t>
      </w:r>
      <w:r w:rsidR="003F09B7">
        <w:rPr>
          <w:rFonts w:ascii="Times" w:hAnsi="Times"/>
        </w:rPr>
        <w:t>geographic domains</w:t>
      </w:r>
      <w:r w:rsidR="00EE0538">
        <w:rPr>
          <w:rFonts w:ascii="Times" w:hAnsi="Times"/>
        </w:rPr>
        <w:t xml:space="preserve">. In fact, </w:t>
      </w:r>
      <w:r w:rsidR="003F09B7">
        <w:rPr>
          <w:rFonts w:ascii="Times" w:hAnsi="Times"/>
        </w:rPr>
        <w:t xml:space="preserve">tampons </w:t>
      </w:r>
      <w:r w:rsidR="00EE0538">
        <w:rPr>
          <w:rFonts w:ascii="Times" w:hAnsi="Times"/>
        </w:rPr>
        <w:t xml:space="preserve">in rural communities are sold at a skyrocketing </w:t>
      </w:r>
      <w:r>
        <w:rPr>
          <w:rFonts w:ascii="Times" w:hAnsi="Times"/>
        </w:rPr>
        <w:t xml:space="preserve">$16 to $45 per box (Rushowy, 2021). </w:t>
      </w:r>
    </w:p>
    <w:p w14:paraId="7F6CFB16" w14:textId="4D220421" w:rsidR="00E3693F" w:rsidRPr="00E3693F" w:rsidRDefault="00256B15" w:rsidP="00D4014F">
      <w:pPr>
        <w:spacing w:line="360" w:lineRule="auto"/>
        <w:rPr>
          <w:rFonts w:ascii="Times" w:hAnsi="Times"/>
        </w:rPr>
      </w:pPr>
      <w:r>
        <w:rPr>
          <w:rFonts w:ascii="Times" w:hAnsi="Times"/>
          <w:noProof/>
        </w:rPr>
        <w:drawing>
          <wp:anchor distT="0" distB="0" distL="114300" distR="114300" simplePos="0" relativeHeight="251677696" behindDoc="1" locked="0" layoutInCell="1" allowOverlap="1" wp14:anchorId="4E1DECDA" wp14:editId="24643FA3">
            <wp:simplePos x="0" y="0"/>
            <wp:positionH relativeFrom="column">
              <wp:posOffset>2587206</wp:posOffset>
            </wp:positionH>
            <wp:positionV relativeFrom="paragraph">
              <wp:posOffset>326038</wp:posOffset>
            </wp:positionV>
            <wp:extent cx="3958590" cy="2572385"/>
            <wp:effectExtent l="0" t="0" r="3810" b="5715"/>
            <wp:wrapTight wrapText="bothSides">
              <wp:wrapPolygon edited="0">
                <wp:start x="0" y="0"/>
                <wp:lineTo x="0" y="21541"/>
                <wp:lineTo x="21551" y="21541"/>
                <wp:lineTo x="21551" y="0"/>
                <wp:lineTo x="0" y="0"/>
              </wp:wrapPolygon>
            </wp:wrapTight>
            <wp:docPr id="1711478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8534" name="Picture 1711478534"/>
                    <pic:cNvPicPr/>
                  </pic:nvPicPr>
                  <pic:blipFill>
                    <a:blip r:embed="rId9">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958590" cy="2572385"/>
                    </a:xfrm>
                    <a:prstGeom prst="rect">
                      <a:avLst/>
                    </a:prstGeom>
                  </pic:spPr>
                </pic:pic>
              </a:graphicData>
            </a:graphic>
            <wp14:sizeRelH relativeFrom="page">
              <wp14:pctWidth>0</wp14:pctWidth>
            </wp14:sizeRelH>
            <wp14:sizeRelV relativeFrom="page">
              <wp14:pctHeight>0</wp14:pctHeight>
            </wp14:sizeRelV>
          </wp:anchor>
        </w:drawing>
      </w:r>
      <w:r w:rsidR="00385B79">
        <w:rPr>
          <w:rFonts w:ascii="Times" w:hAnsi="Times"/>
        </w:rPr>
        <w:tab/>
      </w:r>
      <w:r w:rsidR="001F6F81">
        <w:rPr>
          <w:rFonts w:ascii="Times" w:hAnsi="Times"/>
        </w:rPr>
        <w:t xml:space="preserve">In an effort to quantify student experiences across North America, </w:t>
      </w:r>
      <w:r w:rsidR="00385B79">
        <w:rPr>
          <w:rFonts w:ascii="Times" w:hAnsi="Times"/>
        </w:rPr>
        <w:t xml:space="preserve">PERIOD. and YouGov </w:t>
      </w:r>
      <w:r w:rsidR="001F6F81">
        <w:rPr>
          <w:rFonts w:ascii="Times" w:hAnsi="Times"/>
        </w:rPr>
        <w:t xml:space="preserve">(a public opinion and data organization) </w:t>
      </w:r>
      <w:r w:rsidR="00385B79">
        <w:rPr>
          <w:rFonts w:ascii="Times" w:hAnsi="Times"/>
        </w:rPr>
        <w:t xml:space="preserve">conducted </w:t>
      </w:r>
      <w:r w:rsidR="001F6F81">
        <w:rPr>
          <w:rFonts w:ascii="Times" w:hAnsi="Times"/>
        </w:rPr>
        <w:t>surveys on</w:t>
      </w:r>
      <w:r w:rsidR="00385B79">
        <w:rPr>
          <w:rFonts w:ascii="Times" w:hAnsi="Times"/>
        </w:rPr>
        <w:t xml:space="preserve"> Canadian and U.S.</w:t>
      </w:r>
      <w:r w:rsidR="001F6F81">
        <w:rPr>
          <w:rFonts w:ascii="Times" w:hAnsi="Times"/>
        </w:rPr>
        <w:t xml:space="preserve"> </w:t>
      </w:r>
      <w:r w:rsidR="007047DC">
        <w:rPr>
          <w:rFonts w:ascii="Times" w:hAnsi="Times"/>
        </w:rPr>
        <w:t xml:space="preserve">university and college </w:t>
      </w:r>
      <w:r w:rsidR="001F6F81">
        <w:rPr>
          <w:rFonts w:ascii="Times" w:hAnsi="Times"/>
        </w:rPr>
        <w:t xml:space="preserve">campuses to </w:t>
      </w:r>
      <w:r w:rsidR="005F78A5">
        <w:rPr>
          <w:rFonts w:ascii="Times" w:hAnsi="Times"/>
        </w:rPr>
        <w:t>better understand</w:t>
      </w:r>
      <w:r w:rsidR="001F6F81">
        <w:rPr>
          <w:rFonts w:ascii="Times" w:hAnsi="Times"/>
        </w:rPr>
        <w:t xml:space="preserve"> period poverty</w:t>
      </w:r>
      <w:r w:rsidR="005F78A5">
        <w:rPr>
          <w:rFonts w:ascii="Times" w:hAnsi="Times"/>
        </w:rPr>
        <w:t xml:space="preserve"> at an institution level</w:t>
      </w:r>
      <w:r w:rsidR="00385B79">
        <w:rPr>
          <w:rFonts w:ascii="Times" w:hAnsi="Times"/>
        </w:rPr>
        <w:t>.</w:t>
      </w:r>
      <w:r w:rsidR="00E3693F">
        <w:rPr>
          <w:rFonts w:ascii="Times" w:hAnsi="Times"/>
        </w:rPr>
        <w:t xml:space="preserve"> </w:t>
      </w:r>
      <w:r w:rsidR="001F6F81">
        <w:rPr>
          <w:rFonts w:ascii="Times" w:hAnsi="Times"/>
        </w:rPr>
        <w:t xml:space="preserve">Results from Canadian campuses indicated that three in ten menstruating adults have previously struggled to afford products. Similarly, 37% of American students </w:t>
      </w:r>
      <w:r w:rsidR="004E0750">
        <w:rPr>
          <w:rFonts w:ascii="Times" w:hAnsi="Times"/>
        </w:rPr>
        <w:t>reported a history of being</w:t>
      </w:r>
      <w:r w:rsidR="001F6F81">
        <w:rPr>
          <w:rFonts w:ascii="Times" w:hAnsi="Times"/>
        </w:rPr>
        <w:t xml:space="preserve"> unable to access essential sanitary supplies.</w:t>
      </w:r>
      <w:r>
        <w:rPr>
          <w:rFonts w:ascii="Times" w:hAnsi="Times"/>
        </w:rPr>
        <w:t xml:space="preserve"> Important to note however is that t</w:t>
      </w:r>
      <w:r w:rsidR="001F6F81">
        <w:rPr>
          <w:rFonts w:ascii="Times" w:hAnsi="Times"/>
        </w:rPr>
        <w:t xml:space="preserve">his data is based on smaller sample sizes, and may not </w:t>
      </w:r>
      <w:r>
        <w:rPr>
          <w:rFonts w:ascii="Times" w:hAnsi="Times"/>
        </w:rPr>
        <w:t xml:space="preserve">be </w:t>
      </w:r>
      <w:r w:rsidR="001F6F81">
        <w:rPr>
          <w:rFonts w:ascii="Times" w:hAnsi="Times"/>
        </w:rPr>
        <w:t>represent</w:t>
      </w:r>
      <w:r>
        <w:rPr>
          <w:rFonts w:ascii="Times" w:hAnsi="Times"/>
        </w:rPr>
        <w:t>ative of all student experiences</w:t>
      </w:r>
      <w:r w:rsidR="001F6F81">
        <w:rPr>
          <w:rFonts w:ascii="Times" w:hAnsi="Times"/>
        </w:rPr>
        <w:t xml:space="preserve">. </w:t>
      </w:r>
    </w:p>
    <w:p w14:paraId="4AE07A1B" w14:textId="0023AF39" w:rsidR="00D4014F" w:rsidRPr="00A106EE" w:rsidRDefault="00D4014F" w:rsidP="00D4014F">
      <w:pPr>
        <w:spacing w:line="360" w:lineRule="auto"/>
        <w:rPr>
          <w:rFonts w:ascii="Times" w:hAnsi="Times"/>
          <w:b/>
          <w:bCs/>
        </w:rPr>
      </w:pPr>
      <w:r w:rsidRPr="00A106EE">
        <w:rPr>
          <w:rFonts w:ascii="Times" w:hAnsi="Times"/>
          <w:b/>
          <w:bCs/>
        </w:rPr>
        <w:lastRenderedPageBreak/>
        <w:t>Health-Related Concerns</w:t>
      </w:r>
    </w:p>
    <w:p w14:paraId="6921B75E" w14:textId="7A4DCB8A" w:rsidR="00A106EE" w:rsidRPr="00C3573C" w:rsidRDefault="00A106EE" w:rsidP="00C3573C">
      <w:pPr>
        <w:spacing w:line="360" w:lineRule="auto"/>
        <w:ind w:firstLine="720"/>
        <w:rPr>
          <w:rFonts w:ascii="Times" w:hAnsi="Times"/>
          <w:color w:val="212121"/>
        </w:rPr>
      </w:pPr>
      <w:r w:rsidRPr="00A106EE">
        <w:rPr>
          <w:rFonts w:ascii="Times" w:hAnsi="Times"/>
          <w:color w:val="212121"/>
        </w:rPr>
        <w:t xml:space="preserve">With the rise of inflation and cost of living, </w:t>
      </w:r>
      <w:r w:rsidR="00B65B7C">
        <w:rPr>
          <w:rFonts w:ascii="Times" w:hAnsi="Times"/>
          <w:color w:val="212121"/>
        </w:rPr>
        <w:t xml:space="preserve">attempts to </w:t>
      </w:r>
      <w:r w:rsidR="007047DC">
        <w:rPr>
          <w:rFonts w:ascii="Times" w:hAnsi="Times"/>
          <w:color w:val="212121"/>
        </w:rPr>
        <w:t>reduce</w:t>
      </w:r>
      <w:r w:rsidR="00B65B7C">
        <w:rPr>
          <w:rFonts w:ascii="Times" w:hAnsi="Times"/>
          <w:color w:val="212121"/>
        </w:rPr>
        <w:t xml:space="preserve"> </w:t>
      </w:r>
      <w:r w:rsidR="007047DC">
        <w:rPr>
          <w:rFonts w:ascii="Times" w:hAnsi="Times"/>
          <w:color w:val="212121"/>
        </w:rPr>
        <w:t>product</w:t>
      </w:r>
      <w:r w:rsidR="00B65B7C">
        <w:rPr>
          <w:rFonts w:ascii="Times" w:hAnsi="Times"/>
          <w:color w:val="212121"/>
        </w:rPr>
        <w:t xml:space="preserve"> use present various risk factors for</w:t>
      </w:r>
      <w:r w:rsidR="002608E0">
        <w:rPr>
          <w:rFonts w:ascii="Times" w:hAnsi="Times"/>
          <w:color w:val="212121"/>
        </w:rPr>
        <w:t xml:space="preserve"> </w:t>
      </w:r>
      <w:r w:rsidR="00B65B7C">
        <w:rPr>
          <w:rFonts w:ascii="Times" w:hAnsi="Times"/>
          <w:color w:val="212121"/>
        </w:rPr>
        <w:t>hygiene</w:t>
      </w:r>
      <w:r w:rsidR="002608E0">
        <w:rPr>
          <w:rFonts w:ascii="Times" w:hAnsi="Times"/>
          <w:color w:val="212121"/>
        </w:rPr>
        <w:t xml:space="preserve"> and </w:t>
      </w:r>
      <w:r w:rsidR="008029AC">
        <w:rPr>
          <w:rFonts w:ascii="Times" w:hAnsi="Times"/>
          <w:color w:val="212121"/>
        </w:rPr>
        <w:t>physical</w:t>
      </w:r>
      <w:r w:rsidR="002608E0">
        <w:rPr>
          <w:rFonts w:ascii="Times" w:hAnsi="Times"/>
          <w:color w:val="212121"/>
        </w:rPr>
        <w:t xml:space="preserve"> </w:t>
      </w:r>
      <w:r w:rsidR="008029AC">
        <w:rPr>
          <w:rFonts w:ascii="Times" w:hAnsi="Times"/>
          <w:color w:val="212121"/>
        </w:rPr>
        <w:t>health</w:t>
      </w:r>
      <w:r w:rsidR="002608E0">
        <w:rPr>
          <w:rFonts w:ascii="Times" w:hAnsi="Times"/>
          <w:color w:val="212121"/>
        </w:rPr>
        <w:t xml:space="preserve">. </w:t>
      </w:r>
      <w:r w:rsidR="008D75DC">
        <w:rPr>
          <w:rFonts w:ascii="Times" w:hAnsi="Times"/>
          <w:color w:val="212121"/>
        </w:rPr>
        <w:t xml:space="preserve">In a questionnaire study by </w:t>
      </w:r>
      <w:r w:rsidRPr="00A106EE">
        <w:rPr>
          <w:rFonts w:ascii="Times" w:hAnsi="Times"/>
          <w:color w:val="212121"/>
        </w:rPr>
        <w:t>Lukindo and colleagues (2022)</w:t>
      </w:r>
      <w:r w:rsidR="008D75DC">
        <w:rPr>
          <w:rFonts w:ascii="Times" w:hAnsi="Times"/>
          <w:color w:val="212121"/>
        </w:rPr>
        <w:t>,</w:t>
      </w:r>
      <w:r w:rsidRPr="00A106EE">
        <w:rPr>
          <w:rFonts w:ascii="Times" w:hAnsi="Times"/>
          <w:color w:val="212121"/>
        </w:rPr>
        <w:t xml:space="preserve"> </w:t>
      </w:r>
      <w:r w:rsidR="008D75DC">
        <w:rPr>
          <w:rFonts w:ascii="Times" w:hAnsi="Times"/>
          <w:color w:val="212121"/>
        </w:rPr>
        <w:t>65% of</w:t>
      </w:r>
      <w:r w:rsidRPr="00A106EE">
        <w:rPr>
          <w:rFonts w:ascii="Times" w:hAnsi="Times"/>
          <w:color w:val="212121"/>
        </w:rPr>
        <w:t xml:space="preserve"> Nova Scotia</w:t>
      </w:r>
      <w:r w:rsidR="002608E0">
        <w:rPr>
          <w:rFonts w:ascii="Times" w:hAnsi="Times"/>
          <w:color w:val="212121"/>
        </w:rPr>
        <w:t xml:space="preserve">n </w:t>
      </w:r>
      <w:r w:rsidR="008D75DC">
        <w:rPr>
          <w:rFonts w:ascii="Times" w:hAnsi="Times"/>
          <w:color w:val="212121"/>
        </w:rPr>
        <w:t>participants</w:t>
      </w:r>
      <w:r w:rsidRPr="00A106EE">
        <w:rPr>
          <w:rFonts w:ascii="Times" w:hAnsi="Times"/>
          <w:color w:val="212121"/>
        </w:rPr>
        <w:t xml:space="preserve"> reported being unable to purchase products due to financial restrictions. </w:t>
      </w:r>
      <w:r w:rsidR="002608E0">
        <w:rPr>
          <w:rFonts w:ascii="Times" w:hAnsi="Times"/>
          <w:color w:val="212121"/>
        </w:rPr>
        <w:t>When asked about efforts to access sanitary products, a</w:t>
      </w:r>
      <w:r w:rsidRPr="00A106EE">
        <w:rPr>
          <w:rFonts w:ascii="Times" w:hAnsi="Times"/>
          <w:color w:val="212121"/>
        </w:rPr>
        <w:t xml:space="preserve"> stark 37% of respondents reported having to use toilet paper and rags as alternative</w:t>
      </w:r>
      <w:r w:rsidR="008D75DC">
        <w:rPr>
          <w:rFonts w:ascii="Times" w:hAnsi="Times"/>
          <w:color w:val="212121"/>
        </w:rPr>
        <w:t>s</w:t>
      </w:r>
      <w:r w:rsidRPr="00A106EE">
        <w:rPr>
          <w:rFonts w:ascii="Times" w:hAnsi="Times"/>
          <w:color w:val="212121"/>
        </w:rPr>
        <w:t xml:space="preserve">, and an additional 22% have </w:t>
      </w:r>
      <w:r w:rsidR="002608E0">
        <w:rPr>
          <w:rFonts w:ascii="Times" w:hAnsi="Times"/>
          <w:color w:val="212121"/>
        </w:rPr>
        <w:t xml:space="preserve">previously </w:t>
      </w:r>
      <w:r w:rsidRPr="00A106EE">
        <w:rPr>
          <w:rFonts w:ascii="Times" w:hAnsi="Times"/>
          <w:color w:val="212121"/>
        </w:rPr>
        <w:t xml:space="preserve">had to wash and reuse soiled sanitary products (Lukindo et al., 2022). </w:t>
      </w:r>
      <w:r w:rsidR="00C3573C">
        <w:rPr>
          <w:rFonts w:ascii="Times" w:hAnsi="Times"/>
          <w:color w:val="212121"/>
        </w:rPr>
        <w:t>These reports are unfortunately common, where competing costs of living lead to women and other individuals having to engage in using unsanitary or risky alternatives, such as</w:t>
      </w:r>
      <w:r w:rsidRPr="00A106EE">
        <w:rPr>
          <w:rFonts w:ascii="Times" w:hAnsi="Times"/>
          <w:color w:val="212121"/>
        </w:rPr>
        <w:t xml:space="preserve"> old blankets and rags, newspapers and paper products, and </w:t>
      </w:r>
      <w:r w:rsidR="00C3573C">
        <w:rPr>
          <w:rFonts w:ascii="Times" w:hAnsi="Times"/>
          <w:color w:val="212121"/>
        </w:rPr>
        <w:t xml:space="preserve">even </w:t>
      </w:r>
      <w:r w:rsidRPr="00A106EE">
        <w:rPr>
          <w:rFonts w:ascii="Times" w:hAnsi="Times"/>
          <w:color w:val="212121"/>
        </w:rPr>
        <w:t xml:space="preserve">animal products such as bird feathers (Dave et al., 2022). </w:t>
      </w:r>
      <w:r w:rsidR="00C3573C">
        <w:rPr>
          <w:rFonts w:ascii="Times" w:hAnsi="Times"/>
          <w:color w:val="212121"/>
        </w:rPr>
        <w:t xml:space="preserve">Another physical </w:t>
      </w:r>
      <w:r w:rsidRPr="00A106EE">
        <w:rPr>
          <w:rFonts w:ascii="Times" w:hAnsi="Times"/>
          <w:color w:val="212121"/>
        </w:rPr>
        <w:t xml:space="preserve">health concern </w:t>
      </w:r>
      <w:r w:rsidR="00C3573C">
        <w:rPr>
          <w:rFonts w:ascii="Times" w:hAnsi="Times"/>
          <w:color w:val="212121"/>
        </w:rPr>
        <w:t>relates to</w:t>
      </w:r>
      <w:r w:rsidRPr="00A106EE">
        <w:rPr>
          <w:rFonts w:ascii="Times" w:hAnsi="Times"/>
          <w:color w:val="212121"/>
        </w:rPr>
        <w:t xml:space="preserve"> the prolonged use of products</w:t>
      </w:r>
      <w:r w:rsidR="00C3573C">
        <w:rPr>
          <w:rFonts w:ascii="Times" w:hAnsi="Times"/>
          <w:color w:val="212121"/>
        </w:rPr>
        <w:t>, where u</w:t>
      </w:r>
      <w:r w:rsidRPr="00A106EE">
        <w:rPr>
          <w:rFonts w:ascii="Times" w:hAnsi="Times"/>
          <w:color w:val="212121"/>
        </w:rPr>
        <w:t xml:space="preserve">sing </w:t>
      </w:r>
      <w:r w:rsidR="008D75DC">
        <w:rPr>
          <w:rFonts w:ascii="Times" w:hAnsi="Times"/>
          <w:color w:val="212121"/>
        </w:rPr>
        <w:t>items</w:t>
      </w:r>
      <w:r w:rsidRPr="00A106EE">
        <w:rPr>
          <w:rFonts w:ascii="Times" w:hAnsi="Times"/>
          <w:color w:val="212121"/>
        </w:rPr>
        <w:t xml:space="preserve"> like </w:t>
      </w:r>
      <w:r w:rsidR="008D75DC">
        <w:rPr>
          <w:rFonts w:ascii="Times" w:hAnsi="Times"/>
          <w:color w:val="212121"/>
        </w:rPr>
        <w:t>such as tampons,</w:t>
      </w:r>
      <w:r w:rsidRPr="00A106EE">
        <w:rPr>
          <w:rFonts w:ascii="Times" w:hAnsi="Times"/>
          <w:color w:val="212121"/>
        </w:rPr>
        <w:t xml:space="preserve"> menstrual cups and sanitary napkins or pads </w:t>
      </w:r>
      <w:r w:rsidR="008D75DC">
        <w:rPr>
          <w:rFonts w:ascii="Times" w:hAnsi="Times"/>
          <w:color w:val="212121"/>
        </w:rPr>
        <w:t>for long period</w:t>
      </w:r>
      <w:r w:rsidR="007047DC">
        <w:rPr>
          <w:rFonts w:ascii="Times" w:hAnsi="Times"/>
          <w:color w:val="212121"/>
        </w:rPr>
        <w:t>s</w:t>
      </w:r>
      <w:r w:rsidR="008D75DC">
        <w:rPr>
          <w:rFonts w:ascii="Times" w:hAnsi="Times"/>
          <w:color w:val="212121"/>
        </w:rPr>
        <w:t xml:space="preserve"> of time </w:t>
      </w:r>
      <w:r w:rsidRPr="00A106EE">
        <w:rPr>
          <w:rFonts w:ascii="Times" w:hAnsi="Times"/>
          <w:color w:val="212121"/>
        </w:rPr>
        <w:t>poses a higher risk of contracting infections such as bacterial vaginosis, yeast infections or urinary tract infections (</w:t>
      </w:r>
      <w:r w:rsidR="00B14D52">
        <w:rPr>
          <w:rFonts w:ascii="Times" w:hAnsi="Times"/>
          <w:color w:val="212121"/>
        </w:rPr>
        <w:t>Jaafar, Ismael &amp; Azzeri, 2023</w:t>
      </w:r>
      <w:r w:rsidR="00CD5005">
        <w:rPr>
          <w:rFonts w:ascii="Times" w:hAnsi="Times"/>
          <w:color w:val="212121"/>
        </w:rPr>
        <w:t>; Berger et al., 2019</w:t>
      </w:r>
      <w:r w:rsidRPr="00A106EE">
        <w:rPr>
          <w:rFonts w:ascii="Times" w:hAnsi="Times"/>
          <w:color w:val="212121"/>
        </w:rPr>
        <w:t xml:space="preserve">). </w:t>
      </w:r>
    </w:p>
    <w:p w14:paraId="3B1F508D" w14:textId="514F9592" w:rsidR="00081695" w:rsidRDefault="00C3573C" w:rsidP="00081695">
      <w:pPr>
        <w:spacing w:line="360" w:lineRule="auto"/>
        <w:ind w:firstLine="720"/>
        <w:rPr>
          <w:rFonts w:ascii="Times" w:hAnsi="Times"/>
        </w:rPr>
      </w:pPr>
      <w:r>
        <w:rPr>
          <w:rFonts w:ascii="Times" w:hAnsi="Times"/>
        </w:rPr>
        <w:t xml:space="preserve">Beyond financial and physical health vulnerability, the indirect effects of period poverty on mental wellbeing are often underappreciated. </w:t>
      </w:r>
      <w:r w:rsidR="00CB1A76">
        <w:rPr>
          <w:rFonts w:ascii="Times" w:hAnsi="Times"/>
        </w:rPr>
        <w:t xml:space="preserve">A recent Plan International Canada survey outlined </w:t>
      </w:r>
      <w:r w:rsidR="00D32CD9" w:rsidRPr="00D32CD9">
        <w:rPr>
          <w:rFonts w:ascii="Times" w:hAnsi="Times"/>
        </w:rPr>
        <w:t>that over 50%</w:t>
      </w:r>
      <w:r w:rsidR="00CB1A76">
        <w:rPr>
          <w:rFonts w:ascii="Times" w:hAnsi="Times"/>
        </w:rPr>
        <w:t xml:space="preserve"> of women ages 14 to 55-years-old</w:t>
      </w:r>
      <w:r w:rsidR="00D32CD9" w:rsidRPr="00D32CD9">
        <w:rPr>
          <w:rFonts w:ascii="Times" w:hAnsi="Times"/>
        </w:rPr>
        <w:t xml:space="preserve"> reported missing activities </w:t>
      </w:r>
      <w:r w:rsidR="00CB1A76">
        <w:rPr>
          <w:rFonts w:ascii="Times" w:hAnsi="Times"/>
        </w:rPr>
        <w:t xml:space="preserve">or social events </w:t>
      </w:r>
      <w:r w:rsidR="00D32CD9" w:rsidRPr="00D32CD9">
        <w:rPr>
          <w:rFonts w:ascii="Times" w:hAnsi="Times"/>
        </w:rPr>
        <w:t xml:space="preserve">due to period-related symptoms and/or concerns about having access to necessary materials or resources. </w:t>
      </w:r>
      <w:r w:rsidR="008D75DC">
        <w:rPr>
          <w:rFonts w:ascii="Times" w:hAnsi="Times"/>
        </w:rPr>
        <w:t>B</w:t>
      </w:r>
      <w:r w:rsidR="00CB1A76">
        <w:rPr>
          <w:rFonts w:ascii="Times" w:hAnsi="Times"/>
        </w:rPr>
        <w:t xml:space="preserve">arriers to social engagement </w:t>
      </w:r>
      <w:r w:rsidR="008D75DC">
        <w:rPr>
          <w:rFonts w:ascii="Times" w:hAnsi="Times"/>
        </w:rPr>
        <w:t>are</w:t>
      </w:r>
      <w:r w:rsidR="00CB1A76">
        <w:rPr>
          <w:rFonts w:ascii="Times" w:hAnsi="Times"/>
        </w:rPr>
        <w:t xml:space="preserve"> further supported by </w:t>
      </w:r>
      <w:r w:rsidR="00D32CD9" w:rsidRPr="00D32CD9">
        <w:rPr>
          <w:rFonts w:ascii="Times" w:hAnsi="Times"/>
        </w:rPr>
        <w:t>Lukindo and colleagues (2022)</w:t>
      </w:r>
      <w:r w:rsidR="00CB1A76">
        <w:rPr>
          <w:rFonts w:ascii="Times" w:hAnsi="Times"/>
        </w:rPr>
        <w:t xml:space="preserve">, who </w:t>
      </w:r>
      <w:r w:rsidR="008D75DC">
        <w:rPr>
          <w:rFonts w:ascii="Times" w:hAnsi="Times"/>
        </w:rPr>
        <w:t>reported</w:t>
      </w:r>
      <w:r w:rsidR="00CB1A76">
        <w:rPr>
          <w:rFonts w:ascii="Times" w:hAnsi="Times"/>
        </w:rPr>
        <w:t xml:space="preserve"> that 40% of </w:t>
      </w:r>
      <w:r w:rsidR="008D75DC">
        <w:rPr>
          <w:rFonts w:ascii="Times" w:hAnsi="Times"/>
        </w:rPr>
        <w:t>menstruating individuals</w:t>
      </w:r>
      <w:r w:rsidR="00CB1A76">
        <w:rPr>
          <w:rFonts w:ascii="Times" w:hAnsi="Times"/>
        </w:rPr>
        <w:t xml:space="preserve"> have </w:t>
      </w:r>
      <w:r w:rsidR="008D75DC">
        <w:rPr>
          <w:rFonts w:ascii="Times" w:hAnsi="Times"/>
        </w:rPr>
        <w:t>missed</w:t>
      </w:r>
      <w:r w:rsidR="00CB1A76">
        <w:rPr>
          <w:rFonts w:ascii="Times" w:hAnsi="Times"/>
        </w:rPr>
        <w:t xml:space="preserve"> school</w:t>
      </w:r>
      <w:r w:rsidR="00D32CD9" w:rsidRPr="00D32CD9">
        <w:rPr>
          <w:rFonts w:ascii="Times" w:hAnsi="Times"/>
        </w:rPr>
        <w:t xml:space="preserve">, social engagements, and recreational activities while on their periods due to a lack of resources or access to sanitary products. </w:t>
      </w:r>
      <w:r w:rsidR="008D75DC">
        <w:rPr>
          <w:rFonts w:ascii="Times" w:hAnsi="Times"/>
        </w:rPr>
        <w:t>Interestingly, d</w:t>
      </w:r>
      <w:r w:rsidR="00CB1A76">
        <w:rPr>
          <w:rFonts w:ascii="Times" w:hAnsi="Times"/>
        </w:rPr>
        <w:t xml:space="preserve">ata from this sample indicated that half of respondents were </w:t>
      </w:r>
      <w:r w:rsidR="008D75DC">
        <w:rPr>
          <w:rFonts w:ascii="Times" w:hAnsi="Times"/>
        </w:rPr>
        <w:t xml:space="preserve">later </w:t>
      </w:r>
      <w:r w:rsidR="00CB1A76">
        <w:rPr>
          <w:rFonts w:ascii="Times" w:hAnsi="Times"/>
        </w:rPr>
        <w:t xml:space="preserve">able to prevent future social isolation </w:t>
      </w:r>
      <w:r w:rsidR="008D75DC">
        <w:rPr>
          <w:rFonts w:ascii="Times" w:hAnsi="Times"/>
        </w:rPr>
        <w:t>once</w:t>
      </w:r>
      <w:r w:rsidR="00CB1A76">
        <w:rPr>
          <w:rFonts w:ascii="Times" w:hAnsi="Times"/>
        </w:rPr>
        <w:t xml:space="preserve"> access to products became free within their institution.</w:t>
      </w:r>
      <w:r w:rsidR="00D32CD9" w:rsidRPr="00D32CD9">
        <w:rPr>
          <w:rFonts w:ascii="Times" w:hAnsi="Times"/>
        </w:rPr>
        <w:t xml:space="preserve"> </w:t>
      </w:r>
      <w:r w:rsidR="0088738D">
        <w:rPr>
          <w:rFonts w:ascii="Times" w:hAnsi="Times"/>
        </w:rPr>
        <w:t xml:space="preserve">In addition to increased social isolation, cross-sectional sample studies </w:t>
      </w:r>
      <w:r w:rsidR="008D75DC">
        <w:rPr>
          <w:rFonts w:ascii="Times" w:hAnsi="Times"/>
        </w:rPr>
        <w:t>suggest</w:t>
      </w:r>
      <w:r w:rsidR="0088738D">
        <w:rPr>
          <w:rFonts w:ascii="Times" w:hAnsi="Times"/>
        </w:rPr>
        <w:t xml:space="preserve"> higher levels of </w:t>
      </w:r>
      <w:r w:rsidR="00D32CD9" w:rsidRPr="0099588E">
        <w:rPr>
          <w:rFonts w:ascii="Times" w:hAnsi="Times"/>
        </w:rPr>
        <w:t>depression</w:t>
      </w:r>
      <w:r w:rsidR="0088738D">
        <w:rPr>
          <w:rFonts w:ascii="Times" w:hAnsi="Times"/>
        </w:rPr>
        <w:t xml:space="preserve">, low mood and anxiety in women and others facing period poverty </w:t>
      </w:r>
      <w:r w:rsidR="00D32CD9" w:rsidRPr="0099588E">
        <w:rPr>
          <w:rFonts w:ascii="Times" w:hAnsi="Times"/>
        </w:rPr>
        <w:t>(Cardoso, Hamidaddin &amp; Gupta, 2021</w:t>
      </w:r>
      <w:r w:rsidR="0088738D">
        <w:rPr>
          <w:rFonts w:ascii="Times" w:hAnsi="Times"/>
        </w:rPr>
        <w:t>; Jaafar, Ismael &amp; Azzeri, 2023; Gouvernet et al., 2023</w:t>
      </w:r>
      <w:r w:rsidR="0083474D">
        <w:rPr>
          <w:rFonts w:ascii="Times" w:hAnsi="Times"/>
        </w:rPr>
        <w:t>; Gallo et al., 2023</w:t>
      </w:r>
      <w:r w:rsidR="00D32CD9" w:rsidRPr="0099588E">
        <w:rPr>
          <w:rFonts w:ascii="Times" w:hAnsi="Times"/>
        </w:rPr>
        <w:t>).</w:t>
      </w:r>
      <w:r w:rsidR="00D5659D">
        <w:rPr>
          <w:rFonts w:ascii="Times" w:hAnsi="Times"/>
        </w:rPr>
        <w:t xml:space="preserve"> </w:t>
      </w:r>
    </w:p>
    <w:p w14:paraId="1A6823BF" w14:textId="77777777" w:rsidR="00081695" w:rsidRPr="00A8336B" w:rsidRDefault="00081695" w:rsidP="00081695">
      <w:pPr>
        <w:spacing w:line="360" w:lineRule="auto"/>
        <w:ind w:firstLine="720"/>
        <w:rPr>
          <w:rFonts w:ascii="Times" w:hAnsi="Times"/>
        </w:rPr>
      </w:pPr>
    </w:p>
    <w:p w14:paraId="190775DA" w14:textId="77777777" w:rsidR="00081695" w:rsidRDefault="001F24AC" w:rsidP="00081695">
      <w:pPr>
        <w:spacing w:line="360" w:lineRule="auto"/>
        <w:rPr>
          <w:rFonts w:ascii="Times" w:hAnsi="Times"/>
          <w:b/>
          <w:bCs/>
        </w:rPr>
      </w:pPr>
      <w:r w:rsidRPr="00A8336B">
        <w:rPr>
          <w:rFonts w:ascii="Times" w:hAnsi="Times"/>
          <w:b/>
          <w:bCs/>
        </w:rPr>
        <w:t>Taboo</w:t>
      </w:r>
      <w:r w:rsidR="00D4014F" w:rsidRPr="00A8336B">
        <w:rPr>
          <w:rFonts w:ascii="Times" w:hAnsi="Times"/>
          <w:b/>
          <w:bCs/>
        </w:rPr>
        <w:t xml:space="preserve"> and Stigmatization</w:t>
      </w:r>
      <w:r w:rsidR="003014DF" w:rsidRPr="00A8336B">
        <w:rPr>
          <w:rFonts w:ascii="Times" w:hAnsi="Times"/>
          <w:b/>
          <w:bCs/>
        </w:rPr>
        <w:t xml:space="preserve"> </w:t>
      </w:r>
    </w:p>
    <w:p w14:paraId="64B64E17" w14:textId="0AAA0A4B" w:rsidR="003014DF" w:rsidRPr="00081695" w:rsidRDefault="002A145C" w:rsidP="00081695">
      <w:pPr>
        <w:spacing w:line="360" w:lineRule="auto"/>
        <w:ind w:firstLine="720"/>
        <w:rPr>
          <w:rFonts w:ascii="Times" w:hAnsi="Times"/>
          <w:b/>
          <w:bCs/>
        </w:rPr>
      </w:pPr>
      <w:r>
        <w:rPr>
          <w:rFonts w:ascii="Times" w:hAnsi="Times"/>
          <w:noProof/>
          <w:color w:val="212121"/>
          <w:shd w:val="clear" w:color="auto" w:fill="FFFFFF"/>
        </w:rPr>
        <w:lastRenderedPageBreak/>
        <w:drawing>
          <wp:anchor distT="0" distB="0" distL="114300" distR="114300" simplePos="0" relativeHeight="251679744" behindDoc="1" locked="0" layoutInCell="1" allowOverlap="1" wp14:anchorId="1077A57A" wp14:editId="36C2BDD9">
            <wp:simplePos x="0" y="0"/>
            <wp:positionH relativeFrom="column">
              <wp:posOffset>3063240</wp:posOffset>
            </wp:positionH>
            <wp:positionV relativeFrom="paragraph">
              <wp:posOffset>2082165</wp:posOffset>
            </wp:positionV>
            <wp:extent cx="2723515" cy="1590040"/>
            <wp:effectExtent l="0" t="0" r="0" b="0"/>
            <wp:wrapTight wrapText="bothSides">
              <wp:wrapPolygon edited="0">
                <wp:start x="0" y="0"/>
                <wp:lineTo x="0" y="21393"/>
                <wp:lineTo x="21454" y="21393"/>
                <wp:lineTo x="21454" y="0"/>
                <wp:lineTo x="0" y="0"/>
              </wp:wrapPolygon>
            </wp:wrapTight>
            <wp:docPr id="984151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51722" name="Picture 984151722"/>
                    <pic:cNvPicPr/>
                  </pic:nvPicPr>
                  <pic:blipFill>
                    <a:blip r:embed="rId11">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723515" cy="159004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noProof/>
          <w:color w:val="212121"/>
          <w:shd w:val="clear" w:color="auto" w:fill="FFFFFF"/>
        </w:rPr>
        <w:drawing>
          <wp:anchor distT="0" distB="0" distL="114300" distR="114300" simplePos="0" relativeHeight="251680768" behindDoc="1" locked="0" layoutInCell="1" allowOverlap="1" wp14:anchorId="4577BDC2" wp14:editId="385994F8">
            <wp:simplePos x="0" y="0"/>
            <wp:positionH relativeFrom="column">
              <wp:posOffset>67310</wp:posOffset>
            </wp:positionH>
            <wp:positionV relativeFrom="paragraph">
              <wp:posOffset>2122602</wp:posOffset>
            </wp:positionV>
            <wp:extent cx="2795270" cy="1536700"/>
            <wp:effectExtent l="0" t="0" r="0" b="0"/>
            <wp:wrapTight wrapText="bothSides">
              <wp:wrapPolygon edited="0">
                <wp:start x="0" y="0"/>
                <wp:lineTo x="0" y="21421"/>
                <wp:lineTo x="21492" y="21421"/>
                <wp:lineTo x="21492" y="0"/>
                <wp:lineTo x="0" y="0"/>
              </wp:wrapPolygon>
            </wp:wrapTight>
            <wp:docPr id="319862351"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62351" name="Picture 7" descr="A diagram of a graph&#10;&#10;Description automatically generated with medium confidence"/>
                    <pic:cNvPicPr/>
                  </pic:nvPicPr>
                  <pic:blipFill>
                    <a:blip r:embed="rId13">
                      <a:extLst>
                        <a:ext uri="{BEBA8EAE-BF5A-486C-A8C5-ECC9F3942E4B}">
                          <a14:imgProps xmlns:a14="http://schemas.microsoft.com/office/drawing/2010/main">
                            <a14:imgLayer r:embed="rId14">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795270" cy="1536700"/>
                    </a:xfrm>
                    <a:prstGeom prst="rect">
                      <a:avLst/>
                    </a:prstGeom>
                  </pic:spPr>
                </pic:pic>
              </a:graphicData>
            </a:graphic>
            <wp14:sizeRelH relativeFrom="page">
              <wp14:pctWidth>0</wp14:pctWidth>
            </wp14:sizeRelH>
            <wp14:sizeRelV relativeFrom="page">
              <wp14:pctHeight>0</wp14:pctHeight>
            </wp14:sizeRelV>
          </wp:anchor>
        </w:drawing>
      </w:r>
      <w:r w:rsidR="00E92D6B">
        <w:rPr>
          <w:rFonts w:ascii="Times" w:hAnsi="Times"/>
        </w:rPr>
        <w:t>A long history of stigmatization has facilitated an</w:t>
      </w:r>
      <w:r w:rsidR="0099588E" w:rsidRPr="00A8336B">
        <w:rPr>
          <w:rFonts w:ascii="Times" w:hAnsi="Times"/>
        </w:rPr>
        <w:t xml:space="preserve"> unsafe environment for women and others who menstruate to </w:t>
      </w:r>
      <w:r w:rsidR="001E3FDD">
        <w:rPr>
          <w:rFonts w:ascii="Times" w:hAnsi="Times"/>
        </w:rPr>
        <w:t>have discussions surrounding</w:t>
      </w:r>
      <w:r w:rsidR="00E92D6B">
        <w:rPr>
          <w:rFonts w:ascii="Times" w:hAnsi="Times"/>
        </w:rPr>
        <w:t xml:space="preserve"> their </w:t>
      </w:r>
      <w:r w:rsidR="00081695">
        <w:rPr>
          <w:rFonts w:ascii="Times" w:hAnsi="Times"/>
        </w:rPr>
        <w:t>menstrual</w:t>
      </w:r>
      <w:r w:rsidR="0099588E" w:rsidRPr="00A8336B">
        <w:rPr>
          <w:rFonts w:ascii="Times" w:hAnsi="Times"/>
        </w:rPr>
        <w:t xml:space="preserve"> health concerns. </w:t>
      </w:r>
      <w:r w:rsidR="001E3FDD">
        <w:rPr>
          <w:rFonts w:ascii="Times" w:hAnsi="Times"/>
        </w:rPr>
        <w:t xml:space="preserve">In a partnership with the menstrual product company Always, </w:t>
      </w:r>
      <w:r w:rsidR="00081695">
        <w:rPr>
          <w:rFonts w:ascii="Times" w:hAnsi="Times"/>
        </w:rPr>
        <w:t xml:space="preserve">the not-for-profit organization known as </w:t>
      </w:r>
      <w:r w:rsidR="00E92D6B">
        <w:rPr>
          <w:rFonts w:ascii="Times" w:hAnsi="Times"/>
        </w:rPr>
        <w:t>PERIOD.</w:t>
      </w:r>
      <w:r w:rsidR="001E3FDD">
        <w:rPr>
          <w:rFonts w:ascii="Times" w:hAnsi="Times"/>
        </w:rPr>
        <w:t xml:space="preserve"> conducted </w:t>
      </w:r>
      <w:r w:rsidR="0099588E" w:rsidRPr="00A8336B">
        <w:rPr>
          <w:rFonts w:ascii="Times" w:hAnsi="Times"/>
        </w:rPr>
        <w:t>a self-report survey asking individuals to share their personal perspectives and beliefs surrounding menstruation and period poverty. Within this Canadian sample, 25% of teenage</w:t>
      </w:r>
      <w:r w:rsidR="001E3FDD">
        <w:rPr>
          <w:rFonts w:ascii="Times" w:hAnsi="Times"/>
        </w:rPr>
        <w:t>rs</w:t>
      </w:r>
      <w:r w:rsidR="0099588E" w:rsidRPr="00A8336B">
        <w:rPr>
          <w:rFonts w:ascii="Times" w:hAnsi="Times"/>
        </w:rPr>
        <w:t xml:space="preserve"> and emerging adult</w:t>
      </w:r>
      <w:r w:rsidR="001E3FDD">
        <w:rPr>
          <w:rFonts w:ascii="Times" w:hAnsi="Times"/>
        </w:rPr>
        <w:t>s</w:t>
      </w:r>
      <w:r w:rsidR="0099588E" w:rsidRPr="00A8336B">
        <w:rPr>
          <w:rFonts w:ascii="Times" w:hAnsi="Times"/>
        </w:rPr>
        <w:t xml:space="preserve"> reported having an ‘inadequate’ level of knowledge about </w:t>
      </w:r>
      <w:r w:rsidR="001E3FDD">
        <w:rPr>
          <w:rFonts w:ascii="Times" w:hAnsi="Times"/>
        </w:rPr>
        <w:t xml:space="preserve">how to manage their periods, as well as </w:t>
      </w:r>
      <w:r w:rsidR="00144BC7">
        <w:rPr>
          <w:rFonts w:ascii="Times" w:hAnsi="Times"/>
        </w:rPr>
        <w:t>the biological process behind</w:t>
      </w:r>
      <w:r w:rsidR="001E3FDD">
        <w:rPr>
          <w:rFonts w:ascii="Times" w:hAnsi="Times"/>
        </w:rPr>
        <w:t xml:space="preserve"> the menstrual cycle </w:t>
      </w:r>
      <w:r w:rsidR="003014DF" w:rsidRPr="00A8336B">
        <w:rPr>
          <w:rFonts w:ascii="Times" w:hAnsi="Times"/>
        </w:rPr>
        <w:t>(Always, 2020)</w:t>
      </w:r>
      <w:r w:rsidR="00322855" w:rsidRPr="00A8336B">
        <w:rPr>
          <w:rFonts w:ascii="Times" w:hAnsi="Times"/>
        </w:rPr>
        <w:t>.</w:t>
      </w:r>
    </w:p>
    <w:p w14:paraId="14E2EA0D" w14:textId="76477A50" w:rsidR="00385B79" w:rsidRDefault="00992FB3" w:rsidP="00D32779">
      <w:pPr>
        <w:spacing w:line="360" w:lineRule="auto"/>
        <w:ind w:firstLine="720"/>
        <w:rPr>
          <w:rFonts w:ascii="Times" w:hAnsi="Times"/>
          <w:color w:val="212121"/>
          <w:shd w:val="clear" w:color="auto" w:fill="FFFFFF"/>
        </w:rPr>
      </w:pPr>
      <w:r>
        <w:rPr>
          <w:rFonts w:ascii="Times" w:hAnsi="Times"/>
          <w:color w:val="212121"/>
          <w:shd w:val="clear" w:color="auto" w:fill="FFFFFF"/>
        </w:rPr>
        <w:t>From an education perspective, a lack of knowledge surrounding correct hygienic practices</w:t>
      </w:r>
      <w:r w:rsidR="00203935">
        <w:rPr>
          <w:rFonts w:ascii="Times" w:hAnsi="Times"/>
          <w:color w:val="212121"/>
          <w:shd w:val="clear" w:color="auto" w:fill="FFFFFF"/>
        </w:rPr>
        <w:t xml:space="preserve"> and how to manage </w:t>
      </w:r>
      <w:r>
        <w:rPr>
          <w:rFonts w:ascii="Times" w:hAnsi="Times"/>
          <w:color w:val="212121"/>
          <w:shd w:val="clear" w:color="auto" w:fill="FFFFFF"/>
        </w:rPr>
        <w:t xml:space="preserve">menses symptoms can be damaging and </w:t>
      </w:r>
      <w:r w:rsidR="00203935">
        <w:rPr>
          <w:rFonts w:ascii="Times" w:hAnsi="Times"/>
          <w:color w:val="212121"/>
          <w:shd w:val="clear" w:color="auto" w:fill="FFFFFF"/>
        </w:rPr>
        <w:t>isolating</w:t>
      </w:r>
      <w:r>
        <w:rPr>
          <w:rFonts w:ascii="Times" w:hAnsi="Times"/>
          <w:color w:val="212121"/>
          <w:shd w:val="clear" w:color="auto" w:fill="FFFFFF"/>
        </w:rPr>
        <w:t xml:space="preserve">. </w:t>
      </w:r>
      <w:r w:rsidR="00203935">
        <w:rPr>
          <w:rFonts w:ascii="Times" w:hAnsi="Times"/>
          <w:color w:val="212121"/>
          <w:shd w:val="clear" w:color="auto" w:fill="FFFFFF"/>
        </w:rPr>
        <w:t>Unfortunately, o</w:t>
      </w:r>
      <w:r>
        <w:rPr>
          <w:rFonts w:ascii="Times" w:hAnsi="Times"/>
          <w:color w:val="212121"/>
          <w:shd w:val="clear" w:color="auto" w:fill="FFFFFF"/>
        </w:rPr>
        <w:t xml:space="preserve">utdated perceptions of periods, including ones that insinuate menses are </w:t>
      </w:r>
      <w:r w:rsidR="00203935">
        <w:rPr>
          <w:rFonts w:ascii="Times" w:hAnsi="Times"/>
          <w:color w:val="212121"/>
          <w:shd w:val="clear" w:color="auto" w:fill="FFFFFF"/>
        </w:rPr>
        <w:t>‘</w:t>
      </w:r>
      <w:r>
        <w:rPr>
          <w:rFonts w:ascii="Times" w:hAnsi="Times"/>
          <w:color w:val="212121"/>
          <w:shd w:val="clear" w:color="auto" w:fill="FFFFFF"/>
        </w:rPr>
        <w:t>harmful</w:t>
      </w:r>
      <w:r w:rsidR="00203935">
        <w:rPr>
          <w:rFonts w:ascii="Times" w:hAnsi="Times"/>
          <w:color w:val="212121"/>
          <w:shd w:val="clear" w:color="auto" w:fill="FFFFFF"/>
        </w:rPr>
        <w:t>’</w:t>
      </w:r>
      <w:r>
        <w:rPr>
          <w:rFonts w:ascii="Times" w:hAnsi="Times"/>
          <w:color w:val="212121"/>
          <w:shd w:val="clear" w:color="auto" w:fill="FFFFFF"/>
        </w:rPr>
        <w:t xml:space="preserve"> </w:t>
      </w:r>
      <w:r w:rsidR="00203935">
        <w:rPr>
          <w:rFonts w:ascii="Times" w:hAnsi="Times"/>
          <w:color w:val="212121"/>
          <w:shd w:val="clear" w:color="auto" w:fill="FFFFFF"/>
        </w:rPr>
        <w:t>or ‘contagious’</w:t>
      </w:r>
      <w:r w:rsidR="002A145C">
        <w:rPr>
          <w:rFonts w:ascii="Times" w:hAnsi="Times"/>
          <w:color w:val="212121"/>
          <w:shd w:val="clear" w:color="auto" w:fill="FFFFFF"/>
        </w:rPr>
        <w:t xml:space="preserve"> to others</w:t>
      </w:r>
      <w:r w:rsidR="00203935">
        <w:rPr>
          <w:rFonts w:ascii="Times" w:hAnsi="Times"/>
          <w:color w:val="212121"/>
          <w:shd w:val="clear" w:color="auto" w:fill="FFFFFF"/>
        </w:rPr>
        <w:t xml:space="preserve">, </w:t>
      </w:r>
      <w:r>
        <w:rPr>
          <w:rFonts w:ascii="Times" w:hAnsi="Times"/>
          <w:color w:val="212121"/>
          <w:shd w:val="clear" w:color="auto" w:fill="FFFFFF"/>
        </w:rPr>
        <w:t xml:space="preserve">are alive and well </w:t>
      </w:r>
      <w:r w:rsidR="00385B79" w:rsidRPr="00385B79">
        <w:rPr>
          <w:rFonts w:ascii="Times" w:hAnsi="Times"/>
          <w:color w:val="212121"/>
          <w:shd w:val="clear" w:color="auto" w:fill="FFFFFF"/>
        </w:rPr>
        <w:t>(Rapp &amp; Kilpatrick, 2020</w:t>
      </w:r>
      <w:r>
        <w:rPr>
          <w:rFonts w:ascii="Times" w:hAnsi="Times"/>
          <w:color w:val="212121"/>
          <w:shd w:val="clear" w:color="auto" w:fill="FFFFFF"/>
        </w:rPr>
        <w:t>; Jaafar, Ismael &amp; Azzeri, 2023</w:t>
      </w:r>
      <w:r w:rsidR="00385B79" w:rsidRPr="00385B79">
        <w:rPr>
          <w:rFonts w:ascii="Times" w:hAnsi="Times"/>
          <w:color w:val="212121"/>
          <w:shd w:val="clear" w:color="auto" w:fill="FFFFFF"/>
        </w:rPr>
        <w:t xml:space="preserve">). </w:t>
      </w:r>
      <w:r w:rsidR="00385B79">
        <w:rPr>
          <w:rFonts w:ascii="Times" w:hAnsi="Times"/>
          <w:color w:val="212121"/>
          <w:shd w:val="clear" w:color="auto" w:fill="FFFFFF"/>
        </w:rPr>
        <w:t xml:space="preserve">In </w:t>
      </w:r>
      <w:r>
        <w:rPr>
          <w:rFonts w:ascii="Times" w:hAnsi="Times"/>
          <w:color w:val="212121"/>
          <w:shd w:val="clear" w:color="auto" w:fill="FFFFFF"/>
        </w:rPr>
        <w:t>a survey study assessing beliefs in residents of the</w:t>
      </w:r>
      <w:r w:rsidR="00385B79">
        <w:rPr>
          <w:rFonts w:ascii="Times" w:hAnsi="Times"/>
          <w:color w:val="212121"/>
          <w:shd w:val="clear" w:color="auto" w:fill="FFFFFF"/>
        </w:rPr>
        <w:t xml:space="preserve"> United States,</w:t>
      </w:r>
      <w:r w:rsidR="00483A32">
        <w:rPr>
          <w:rFonts w:ascii="Times" w:hAnsi="Times"/>
          <w:color w:val="212121"/>
          <w:shd w:val="clear" w:color="auto" w:fill="FFFFFF"/>
        </w:rPr>
        <w:t xml:space="preserve"> 58% of women report</w:t>
      </w:r>
      <w:r w:rsidR="00203935">
        <w:rPr>
          <w:rFonts w:ascii="Times" w:hAnsi="Times"/>
          <w:color w:val="212121"/>
          <w:shd w:val="clear" w:color="auto" w:fill="FFFFFF"/>
        </w:rPr>
        <w:t>ed</w:t>
      </w:r>
      <w:r w:rsidR="00483A32">
        <w:rPr>
          <w:rFonts w:ascii="Times" w:hAnsi="Times"/>
          <w:color w:val="212121"/>
          <w:shd w:val="clear" w:color="auto" w:fill="FFFFFF"/>
        </w:rPr>
        <w:t xml:space="preserve"> being ashamed of their period, and 51% of men reported beliefs that it is improper to discuss menstruation in the workplace (Jaafar, Ismael &amp; Azzeri, 2023).</w:t>
      </w:r>
      <w:r w:rsidR="00385B79">
        <w:rPr>
          <w:rFonts w:ascii="Times" w:hAnsi="Times"/>
          <w:color w:val="212121"/>
          <w:shd w:val="clear" w:color="auto" w:fill="FFFFFF"/>
        </w:rPr>
        <w:t xml:space="preserve"> </w:t>
      </w:r>
      <w:r>
        <w:rPr>
          <w:rFonts w:ascii="Times" w:hAnsi="Times"/>
          <w:color w:val="212121"/>
          <w:shd w:val="clear" w:color="auto" w:fill="FFFFFF"/>
        </w:rPr>
        <w:t xml:space="preserve">Similarly, Enviro Canada reports that 25% of Canadians perceive periods to be “dirty” and “unclean”, and 22% prefer that menstruation not be discussed in public settings. In fact, 22% of respondents </w:t>
      </w:r>
      <w:r w:rsidR="00DB3F0F">
        <w:rPr>
          <w:rFonts w:ascii="Times" w:hAnsi="Times"/>
          <w:color w:val="212121"/>
          <w:shd w:val="clear" w:color="auto" w:fill="FFFFFF"/>
        </w:rPr>
        <w:t xml:space="preserve">preferred </w:t>
      </w:r>
      <w:r>
        <w:rPr>
          <w:rFonts w:ascii="Times" w:hAnsi="Times"/>
          <w:color w:val="212121"/>
          <w:shd w:val="clear" w:color="auto" w:fill="FFFFFF"/>
        </w:rPr>
        <w:t>to have sanitary supplies hidden from view (Enviro</w:t>
      </w:r>
      <w:r w:rsidR="00DB3F0F">
        <w:rPr>
          <w:rFonts w:ascii="Times" w:hAnsi="Times"/>
          <w:color w:val="212121"/>
          <w:shd w:val="clear" w:color="auto" w:fill="FFFFFF"/>
        </w:rPr>
        <w:t>nics Research Canada, 2023).</w:t>
      </w:r>
      <w:r>
        <w:rPr>
          <w:rFonts w:ascii="Times" w:hAnsi="Times"/>
          <w:color w:val="212121"/>
          <w:shd w:val="clear" w:color="auto" w:fill="FFFFFF"/>
        </w:rPr>
        <w:t xml:space="preserve"> T</w:t>
      </w:r>
      <w:r w:rsidR="00385B79" w:rsidRPr="00385B79">
        <w:rPr>
          <w:rFonts w:ascii="Times" w:hAnsi="Times"/>
          <w:color w:val="212121"/>
          <w:shd w:val="clear" w:color="auto" w:fill="FFFFFF"/>
        </w:rPr>
        <w:t>hese belief systems</w:t>
      </w:r>
      <w:r>
        <w:rPr>
          <w:rFonts w:ascii="Times" w:hAnsi="Times"/>
          <w:color w:val="212121"/>
          <w:shd w:val="clear" w:color="auto" w:fill="FFFFFF"/>
        </w:rPr>
        <w:t xml:space="preserve"> are prejudiced and misguided, resulting in </w:t>
      </w:r>
      <w:r w:rsidR="00D32779">
        <w:rPr>
          <w:rFonts w:ascii="Times" w:hAnsi="Times"/>
          <w:color w:val="212121"/>
          <w:shd w:val="clear" w:color="auto" w:fill="FFFFFF"/>
        </w:rPr>
        <w:t xml:space="preserve">individuals feeling high levels of shamefulness and the need </w:t>
      </w:r>
      <w:r w:rsidR="00F52CBA">
        <w:rPr>
          <w:rFonts w:ascii="Times" w:hAnsi="Times"/>
          <w:color w:val="212121"/>
          <w:shd w:val="clear" w:color="auto" w:fill="FFFFFF"/>
        </w:rPr>
        <w:t xml:space="preserve">to manage menstruation in secrecy </w:t>
      </w:r>
      <w:r w:rsidR="0099588E">
        <w:rPr>
          <w:rFonts w:ascii="Times" w:hAnsi="Times"/>
          <w:color w:val="212121"/>
          <w:shd w:val="clear" w:color="auto" w:fill="FFFFFF"/>
        </w:rPr>
        <w:t>(Hennegan et al., 2019)</w:t>
      </w:r>
      <w:r>
        <w:rPr>
          <w:rFonts w:ascii="Times" w:hAnsi="Times"/>
          <w:color w:val="212121"/>
          <w:shd w:val="clear" w:color="auto" w:fill="FFFFFF"/>
        </w:rPr>
        <w:t>.</w:t>
      </w:r>
      <w:r w:rsidR="0002234E">
        <w:rPr>
          <w:rFonts w:ascii="Times" w:hAnsi="Times"/>
          <w:color w:val="212121"/>
          <w:shd w:val="clear" w:color="auto" w:fill="FFFFFF"/>
        </w:rPr>
        <w:t xml:space="preserve"> As a result, higher instances </w:t>
      </w:r>
      <w:r w:rsidR="008B4E2B">
        <w:rPr>
          <w:rFonts w:ascii="Times" w:hAnsi="Times"/>
          <w:color w:val="212121"/>
          <w:shd w:val="clear" w:color="auto" w:fill="FFFFFF"/>
        </w:rPr>
        <w:t xml:space="preserve">of </w:t>
      </w:r>
      <w:r w:rsidR="0002234E">
        <w:rPr>
          <w:rFonts w:ascii="Times" w:hAnsi="Times"/>
          <w:color w:val="212121"/>
          <w:shd w:val="clear" w:color="auto" w:fill="FFFFFF"/>
        </w:rPr>
        <w:t xml:space="preserve">physical health complications are common, and menstruating individuals are prevented from achieving optimal care (Das et al., 2015; </w:t>
      </w:r>
      <w:r w:rsidR="00483A32" w:rsidRPr="0002234E">
        <w:rPr>
          <w:rFonts w:ascii="Times" w:hAnsi="Times"/>
          <w:color w:val="212121"/>
          <w:shd w:val="clear" w:color="auto" w:fill="FFFFFF"/>
        </w:rPr>
        <w:t>Babbar, 2022)</w:t>
      </w:r>
      <w:r w:rsidR="003014DF" w:rsidRPr="0002234E">
        <w:rPr>
          <w:rFonts w:ascii="Times" w:hAnsi="Times"/>
          <w:color w:val="212121"/>
          <w:shd w:val="clear" w:color="auto" w:fill="FFFFFF"/>
        </w:rPr>
        <w:t xml:space="preserve">. </w:t>
      </w:r>
    </w:p>
    <w:p w14:paraId="1A4E82E6" w14:textId="77777777" w:rsidR="003A5A55" w:rsidRDefault="003A5A55" w:rsidP="00D32779">
      <w:pPr>
        <w:spacing w:line="360" w:lineRule="auto"/>
        <w:ind w:firstLine="720"/>
        <w:rPr>
          <w:rFonts w:ascii="Times" w:hAnsi="Times"/>
          <w:color w:val="212121"/>
          <w:shd w:val="clear" w:color="auto" w:fill="FFFFFF"/>
        </w:rPr>
      </w:pPr>
    </w:p>
    <w:p w14:paraId="1AB74CF9" w14:textId="77777777" w:rsidR="003A5A55" w:rsidRPr="00D32779" w:rsidRDefault="003A5A55" w:rsidP="00D32779">
      <w:pPr>
        <w:spacing w:line="360" w:lineRule="auto"/>
        <w:ind w:firstLine="720"/>
        <w:rPr>
          <w:rFonts w:ascii="Times" w:hAnsi="Times"/>
          <w:color w:val="212121"/>
          <w:shd w:val="clear" w:color="auto" w:fill="FFFFFF"/>
        </w:rPr>
      </w:pPr>
    </w:p>
    <w:p w14:paraId="3F6FDDA8" w14:textId="77777777" w:rsidR="00935589" w:rsidRPr="00D4014F" w:rsidRDefault="00935589" w:rsidP="00D4014F">
      <w:pPr>
        <w:rPr>
          <w:rFonts w:ascii="Times" w:hAnsi="Times"/>
        </w:rPr>
      </w:pPr>
    </w:p>
    <w:p w14:paraId="41626131" w14:textId="0C98D452" w:rsidR="0012039A" w:rsidRDefault="00D4014F" w:rsidP="00935589">
      <w:pPr>
        <w:spacing w:line="360" w:lineRule="auto"/>
        <w:jc w:val="center"/>
        <w:rPr>
          <w:rFonts w:ascii="Times" w:hAnsi="Times"/>
        </w:rPr>
      </w:pPr>
      <w:r w:rsidRPr="00552745">
        <w:rPr>
          <w:rFonts w:ascii="Times" w:hAnsi="Times"/>
        </w:rPr>
        <w:lastRenderedPageBreak/>
        <w:t xml:space="preserve">Current </w:t>
      </w:r>
      <w:r w:rsidR="00935589" w:rsidRPr="00552745">
        <w:rPr>
          <w:rFonts w:ascii="Times" w:hAnsi="Times"/>
        </w:rPr>
        <w:t>Knowledge Translation</w:t>
      </w:r>
      <w:r w:rsidR="003014DF" w:rsidRPr="008414E1">
        <w:rPr>
          <w:rFonts w:ascii="Times" w:hAnsi="Times"/>
        </w:rPr>
        <w:t xml:space="preserve"> </w:t>
      </w:r>
    </w:p>
    <w:p w14:paraId="4471BFB8" w14:textId="48D7816E" w:rsidR="0012039A" w:rsidRDefault="00BC6B95" w:rsidP="003014DF">
      <w:pPr>
        <w:spacing w:line="360" w:lineRule="auto"/>
        <w:ind w:firstLine="720"/>
        <w:rPr>
          <w:rFonts w:ascii="Times" w:hAnsi="Times"/>
        </w:rPr>
      </w:pPr>
      <w:r>
        <w:rPr>
          <w:rFonts w:ascii="Times" w:hAnsi="Times"/>
        </w:rPr>
        <w:t xml:space="preserve">With </w:t>
      </w:r>
      <w:r w:rsidR="00150976">
        <w:rPr>
          <w:rFonts w:ascii="Times" w:hAnsi="Times"/>
        </w:rPr>
        <w:t>the</w:t>
      </w:r>
      <w:r>
        <w:rPr>
          <w:rFonts w:ascii="Times" w:hAnsi="Times"/>
        </w:rPr>
        <w:t xml:space="preserve"> steady rise of period poverty </w:t>
      </w:r>
      <w:r w:rsidR="00150976">
        <w:rPr>
          <w:rFonts w:ascii="Times" w:hAnsi="Times"/>
        </w:rPr>
        <w:t>has</w:t>
      </w:r>
      <w:r>
        <w:rPr>
          <w:rFonts w:ascii="Times" w:hAnsi="Times"/>
        </w:rPr>
        <w:t xml:space="preserve"> come various, positive efforts to address factors that contribute to menstrual inequity </w:t>
      </w:r>
      <w:r w:rsidR="00D41DA5">
        <w:rPr>
          <w:rFonts w:ascii="Times" w:hAnsi="Times"/>
        </w:rPr>
        <w:t>on a global scale</w:t>
      </w:r>
      <w:r>
        <w:rPr>
          <w:rFonts w:ascii="Times" w:hAnsi="Times"/>
        </w:rPr>
        <w:t xml:space="preserve">. </w:t>
      </w:r>
      <w:r w:rsidR="00D41DA5">
        <w:rPr>
          <w:rFonts w:ascii="Times" w:hAnsi="Times"/>
        </w:rPr>
        <w:t>In 2020, Scotland became the first country to officially pass</w:t>
      </w:r>
      <w:r w:rsidR="0012039A">
        <w:rPr>
          <w:rFonts w:ascii="Times" w:hAnsi="Times"/>
        </w:rPr>
        <w:t xml:space="preserve"> legislation </w:t>
      </w:r>
      <w:r w:rsidR="00D41DA5">
        <w:rPr>
          <w:rFonts w:ascii="Times" w:hAnsi="Times"/>
        </w:rPr>
        <w:t>mandating</w:t>
      </w:r>
      <w:r w:rsidR="0012039A">
        <w:rPr>
          <w:rFonts w:ascii="Times" w:hAnsi="Times"/>
        </w:rPr>
        <w:t xml:space="preserve"> menstrual products to be free </w:t>
      </w:r>
      <w:r w:rsidR="00D41DA5">
        <w:rPr>
          <w:rFonts w:ascii="Times" w:hAnsi="Times"/>
        </w:rPr>
        <w:t>and accessible</w:t>
      </w:r>
      <w:r>
        <w:rPr>
          <w:rFonts w:ascii="Times" w:hAnsi="Times"/>
        </w:rPr>
        <w:t xml:space="preserve"> for all </w:t>
      </w:r>
      <w:r w:rsidR="0012039A">
        <w:rPr>
          <w:rFonts w:ascii="Times" w:hAnsi="Times"/>
        </w:rPr>
        <w:t xml:space="preserve">consumers (Rodrigues, 2021). New Zealand, Kenya and Botswana are </w:t>
      </w:r>
      <w:r>
        <w:rPr>
          <w:rFonts w:ascii="Times" w:hAnsi="Times"/>
        </w:rPr>
        <w:t xml:space="preserve">also </w:t>
      </w:r>
      <w:r w:rsidR="0012039A">
        <w:rPr>
          <w:rFonts w:ascii="Times" w:hAnsi="Times"/>
        </w:rPr>
        <w:t xml:space="preserve">amongst several countries to </w:t>
      </w:r>
      <w:r>
        <w:rPr>
          <w:rFonts w:ascii="Times" w:hAnsi="Times"/>
        </w:rPr>
        <w:t xml:space="preserve">fund </w:t>
      </w:r>
      <w:r w:rsidR="0012039A">
        <w:rPr>
          <w:rFonts w:ascii="Times" w:hAnsi="Times"/>
        </w:rPr>
        <w:t xml:space="preserve">free products </w:t>
      </w:r>
      <w:r>
        <w:rPr>
          <w:rFonts w:ascii="Times" w:hAnsi="Times"/>
        </w:rPr>
        <w:t>in</w:t>
      </w:r>
      <w:r w:rsidR="0012039A">
        <w:rPr>
          <w:rFonts w:ascii="Times" w:hAnsi="Times"/>
        </w:rPr>
        <w:t xml:space="preserve"> public school</w:t>
      </w:r>
      <w:r>
        <w:rPr>
          <w:rFonts w:ascii="Times" w:hAnsi="Times"/>
        </w:rPr>
        <w:t>s</w:t>
      </w:r>
      <w:r w:rsidR="0012039A">
        <w:rPr>
          <w:rFonts w:ascii="Times" w:hAnsi="Times"/>
        </w:rPr>
        <w:t xml:space="preserve">, and </w:t>
      </w:r>
      <w:r w:rsidR="00D41DA5">
        <w:rPr>
          <w:rFonts w:ascii="Times" w:hAnsi="Times"/>
        </w:rPr>
        <w:t xml:space="preserve">certain </w:t>
      </w:r>
      <w:r w:rsidR="0012039A">
        <w:rPr>
          <w:rFonts w:ascii="Times" w:hAnsi="Times"/>
        </w:rPr>
        <w:t>universities across France and North America have installed free menstrual product dispensers for post-secondary students.</w:t>
      </w:r>
      <w:r w:rsidR="00A159A3" w:rsidRPr="00A159A3">
        <w:t xml:space="preserve"> </w:t>
      </w:r>
    </w:p>
    <w:p w14:paraId="7B977D9B" w14:textId="440198FB" w:rsidR="00AA18D4" w:rsidRPr="00E3693F" w:rsidRDefault="0012039A" w:rsidP="0016797D">
      <w:pPr>
        <w:spacing w:line="360" w:lineRule="auto"/>
        <w:ind w:firstLine="720"/>
        <w:rPr>
          <w:rFonts w:ascii="Times" w:hAnsi="Times"/>
        </w:rPr>
      </w:pPr>
      <w:r>
        <w:rPr>
          <w:rFonts w:ascii="Times" w:hAnsi="Times"/>
        </w:rPr>
        <w:t>Canada</w:t>
      </w:r>
      <w:r w:rsidR="000D32F4">
        <w:rPr>
          <w:rFonts w:ascii="Times" w:hAnsi="Times"/>
        </w:rPr>
        <w:t xml:space="preserve"> has also </w:t>
      </w:r>
      <w:r w:rsidR="00150976">
        <w:rPr>
          <w:rFonts w:ascii="Times" w:hAnsi="Times"/>
        </w:rPr>
        <w:t>recently</w:t>
      </w:r>
      <w:r w:rsidR="000D32F4">
        <w:rPr>
          <w:rFonts w:ascii="Times" w:hAnsi="Times"/>
        </w:rPr>
        <w:t xml:space="preserve"> participate</w:t>
      </w:r>
      <w:r w:rsidR="00150976">
        <w:rPr>
          <w:rFonts w:ascii="Times" w:hAnsi="Times"/>
        </w:rPr>
        <w:t>d</w:t>
      </w:r>
      <w:r w:rsidR="000D32F4">
        <w:rPr>
          <w:rFonts w:ascii="Times" w:hAnsi="Times"/>
        </w:rPr>
        <w:t xml:space="preserve"> in advocating for menstrual equity by implementing </w:t>
      </w:r>
      <w:r>
        <w:rPr>
          <w:rFonts w:ascii="Times" w:hAnsi="Times"/>
        </w:rPr>
        <w:t xml:space="preserve">programs and policies </w:t>
      </w:r>
      <w:r w:rsidR="000D32F4">
        <w:rPr>
          <w:rFonts w:ascii="Times" w:hAnsi="Times"/>
        </w:rPr>
        <w:t xml:space="preserve">with the purpose of alleviating financial burden associated with sanitary </w:t>
      </w:r>
      <w:r>
        <w:rPr>
          <w:rFonts w:ascii="Times" w:hAnsi="Times"/>
        </w:rPr>
        <w:t xml:space="preserve">products. </w:t>
      </w:r>
      <w:r w:rsidR="00BC6B95">
        <w:rPr>
          <w:rFonts w:ascii="Times" w:hAnsi="Times"/>
        </w:rPr>
        <w:t>As of 2015</w:t>
      </w:r>
      <w:r w:rsidR="000D32F4">
        <w:rPr>
          <w:rFonts w:ascii="Times" w:hAnsi="Times"/>
        </w:rPr>
        <w:t>,</w:t>
      </w:r>
      <w:r w:rsidR="00BC6B95">
        <w:rPr>
          <w:rFonts w:ascii="Times" w:hAnsi="Times"/>
        </w:rPr>
        <w:t xml:space="preserve"> the</w:t>
      </w:r>
      <w:r>
        <w:rPr>
          <w:rFonts w:ascii="Times" w:hAnsi="Times"/>
        </w:rPr>
        <w:t xml:space="preserve"> Goods and Service Tax </w:t>
      </w:r>
      <w:r w:rsidR="00BC6B95">
        <w:rPr>
          <w:rFonts w:ascii="Times" w:hAnsi="Times"/>
        </w:rPr>
        <w:t>(better known as the ‘pink tax’)</w:t>
      </w:r>
      <w:r>
        <w:rPr>
          <w:rFonts w:ascii="Times" w:hAnsi="Times"/>
        </w:rPr>
        <w:t xml:space="preserve"> </w:t>
      </w:r>
      <w:r w:rsidR="00BC6B95">
        <w:rPr>
          <w:rFonts w:ascii="Times" w:hAnsi="Times"/>
        </w:rPr>
        <w:t xml:space="preserve">was removed from </w:t>
      </w:r>
      <w:r w:rsidR="000D32F4">
        <w:rPr>
          <w:rFonts w:ascii="Times" w:hAnsi="Times"/>
        </w:rPr>
        <w:t xml:space="preserve">store-bought </w:t>
      </w:r>
      <w:r w:rsidR="00BC6B95">
        <w:rPr>
          <w:rFonts w:ascii="Times" w:hAnsi="Times"/>
        </w:rPr>
        <w:t xml:space="preserve">sanitary products </w:t>
      </w:r>
      <w:r>
        <w:rPr>
          <w:rFonts w:ascii="Times" w:hAnsi="Times"/>
        </w:rPr>
        <w:t>(</w:t>
      </w:r>
      <w:r w:rsidR="00A17E55">
        <w:rPr>
          <w:rFonts w:ascii="Times" w:hAnsi="Times"/>
        </w:rPr>
        <w:t>Government of Canada</w:t>
      </w:r>
      <w:r>
        <w:rPr>
          <w:rFonts w:ascii="Times" w:hAnsi="Times"/>
        </w:rPr>
        <w:t>, 20</w:t>
      </w:r>
      <w:r w:rsidR="00A17E55">
        <w:rPr>
          <w:rFonts w:ascii="Times" w:hAnsi="Times"/>
        </w:rPr>
        <w:t>15</w:t>
      </w:r>
      <w:r>
        <w:rPr>
          <w:rFonts w:ascii="Times" w:hAnsi="Times"/>
        </w:rPr>
        <w:t>), and in 2021 free menstrual products</w:t>
      </w:r>
      <w:r w:rsidR="00BC6B95">
        <w:rPr>
          <w:rFonts w:ascii="Times" w:hAnsi="Times"/>
        </w:rPr>
        <w:t xml:space="preserve"> were provided</w:t>
      </w:r>
      <w:r>
        <w:rPr>
          <w:rFonts w:ascii="Times" w:hAnsi="Times"/>
        </w:rPr>
        <w:t xml:space="preserve"> to students in First Nations schools and reserves across the country </w:t>
      </w:r>
      <w:r w:rsidR="00BC6B95">
        <w:rPr>
          <w:rFonts w:ascii="Times" w:hAnsi="Times"/>
        </w:rPr>
        <w:t xml:space="preserve">from the Canadian federal government </w:t>
      </w:r>
      <w:r>
        <w:rPr>
          <w:rFonts w:ascii="Times" w:hAnsi="Times"/>
        </w:rPr>
        <w:t xml:space="preserve">(George, 2022). </w:t>
      </w:r>
      <w:r w:rsidR="00B0504C" w:rsidRPr="00B0504C">
        <w:rPr>
          <w:rFonts w:ascii="Times" w:hAnsi="Times"/>
        </w:rPr>
        <w:t xml:space="preserve">More recently in 2023, a grant of </w:t>
      </w:r>
      <w:r w:rsidRPr="00B0504C">
        <w:rPr>
          <w:rFonts w:ascii="Times" w:hAnsi="Times"/>
        </w:rPr>
        <w:t xml:space="preserve">$25 million was applied to initiate the Menstrual Equity Fund for various not-for-profit </w:t>
      </w:r>
      <w:r w:rsidR="00B0504C" w:rsidRPr="00B0504C">
        <w:rPr>
          <w:rFonts w:ascii="Times" w:hAnsi="Times"/>
        </w:rPr>
        <w:t xml:space="preserve">Canadian </w:t>
      </w:r>
      <w:r w:rsidRPr="00B0504C">
        <w:rPr>
          <w:rFonts w:ascii="Times" w:hAnsi="Times"/>
        </w:rPr>
        <w:t xml:space="preserve">charities and organizations </w:t>
      </w:r>
      <w:r w:rsidR="00E3693F" w:rsidRPr="00B0504C">
        <w:rPr>
          <w:rFonts w:ascii="Times" w:hAnsi="Times"/>
        </w:rPr>
        <w:t>to</w:t>
      </w:r>
      <w:r w:rsidRPr="00B0504C">
        <w:rPr>
          <w:rFonts w:ascii="Times" w:hAnsi="Times"/>
        </w:rPr>
        <w:t xml:space="preserve"> increase period product accessibility (National Union of Public and General Employees, 2022; Canadian Press, 2023). Despite these positive efforts</w:t>
      </w:r>
      <w:r w:rsidR="004D1ED0">
        <w:rPr>
          <w:rFonts w:ascii="Times" w:hAnsi="Times"/>
        </w:rPr>
        <w:t xml:space="preserve"> </w:t>
      </w:r>
      <w:r w:rsidRPr="00B0504C">
        <w:rPr>
          <w:rFonts w:ascii="Times" w:hAnsi="Times"/>
        </w:rPr>
        <w:t>period poverty</w:t>
      </w:r>
      <w:r w:rsidR="004D1ED0">
        <w:rPr>
          <w:rFonts w:ascii="Times" w:hAnsi="Times"/>
        </w:rPr>
        <w:t xml:space="preserve"> continues to persist</w:t>
      </w:r>
      <w:r w:rsidR="00995AEB">
        <w:rPr>
          <w:rFonts w:ascii="Times" w:hAnsi="Times"/>
        </w:rPr>
        <w:t xml:space="preserve">, and </w:t>
      </w:r>
      <w:r w:rsidR="004D1ED0">
        <w:rPr>
          <w:rFonts w:ascii="Times" w:hAnsi="Times"/>
        </w:rPr>
        <w:t xml:space="preserve">a push for an increase in </w:t>
      </w:r>
      <w:r w:rsidRPr="00E3693F">
        <w:rPr>
          <w:rFonts w:ascii="Times" w:hAnsi="Times"/>
        </w:rPr>
        <w:t xml:space="preserve">peer-review </w:t>
      </w:r>
      <w:r w:rsidR="004D1ED0">
        <w:rPr>
          <w:rFonts w:ascii="Times" w:hAnsi="Times"/>
        </w:rPr>
        <w:t>research is necessary</w:t>
      </w:r>
      <w:r w:rsidR="00995AEB">
        <w:rPr>
          <w:rFonts w:ascii="Times" w:hAnsi="Times"/>
        </w:rPr>
        <w:t xml:space="preserve"> </w:t>
      </w:r>
      <w:r w:rsidR="004D1ED0">
        <w:rPr>
          <w:rFonts w:ascii="Times" w:hAnsi="Times"/>
        </w:rPr>
        <w:t>to optimize the success of current interventions</w:t>
      </w:r>
      <w:r w:rsidR="00995AEB">
        <w:rPr>
          <w:rFonts w:ascii="Times" w:hAnsi="Times"/>
        </w:rPr>
        <w:t xml:space="preserve"> </w:t>
      </w:r>
      <w:r w:rsidRPr="00E3693F">
        <w:rPr>
          <w:rFonts w:ascii="Times" w:hAnsi="Times"/>
        </w:rPr>
        <w:t>(Patel et al., 2022; Rossouw &amp; Ross, 2021</w:t>
      </w:r>
      <w:r w:rsidR="00995AEB">
        <w:rPr>
          <w:rFonts w:ascii="Times" w:hAnsi="Times"/>
        </w:rPr>
        <w:t xml:space="preserve">; </w:t>
      </w:r>
      <w:r w:rsidRPr="00E3693F">
        <w:rPr>
          <w:rFonts w:ascii="Times" w:hAnsi="Times"/>
        </w:rPr>
        <w:t>Harrison et al., 2022; Wyckof 2023).</w:t>
      </w:r>
      <w:r w:rsidR="00E46880" w:rsidRPr="00E3693F">
        <w:rPr>
          <w:rFonts w:ascii="Times" w:hAnsi="Times"/>
        </w:rPr>
        <w:t xml:space="preserve"> </w:t>
      </w:r>
    </w:p>
    <w:p w14:paraId="3A38563E" w14:textId="793E73F3" w:rsidR="00B0504C" w:rsidRDefault="00E70F29" w:rsidP="003014DF">
      <w:pPr>
        <w:spacing w:line="360" w:lineRule="auto"/>
        <w:ind w:firstLine="720"/>
        <w:rPr>
          <w:rFonts w:ascii="Times" w:hAnsi="Times"/>
        </w:rPr>
      </w:pPr>
      <w:r>
        <w:rPr>
          <w:rFonts w:ascii="Times" w:hAnsi="Times"/>
        </w:rPr>
        <w:t xml:space="preserve">In terms of data visualizations, </w:t>
      </w:r>
      <w:r w:rsidR="00B0504C">
        <w:rPr>
          <w:rFonts w:ascii="Times" w:hAnsi="Times"/>
        </w:rPr>
        <w:t xml:space="preserve">a quick Google engine search brings you to an interactive </w:t>
      </w:r>
      <w:r w:rsidR="004D1ED0">
        <w:rPr>
          <w:rFonts w:ascii="Times" w:hAnsi="Times"/>
        </w:rPr>
        <w:t>tool</w:t>
      </w:r>
      <w:r w:rsidR="00B0504C">
        <w:rPr>
          <w:rFonts w:ascii="Times" w:hAnsi="Times"/>
        </w:rPr>
        <w:t xml:space="preserve"> created by </w:t>
      </w:r>
      <w:r>
        <w:rPr>
          <w:rFonts w:ascii="Times" w:hAnsi="Times"/>
        </w:rPr>
        <w:t xml:space="preserve">Kalmus (2020) </w:t>
      </w:r>
      <w:r w:rsidR="0016797D">
        <w:rPr>
          <w:rFonts w:ascii="Times" w:hAnsi="Times"/>
        </w:rPr>
        <w:t>on</w:t>
      </w:r>
      <w:r w:rsidR="00B0504C">
        <w:rPr>
          <w:rFonts w:ascii="Times" w:hAnsi="Times"/>
        </w:rPr>
        <w:t xml:space="preserve"> </w:t>
      </w:r>
      <w:r w:rsidR="00B0504C" w:rsidRPr="0016797D">
        <w:rPr>
          <w:rFonts w:ascii="Times" w:hAnsi="Times"/>
          <w:i/>
          <w:iCs/>
        </w:rPr>
        <w:t xml:space="preserve">Public </w:t>
      </w:r>
      <w:r w:rsidRPr="0016797D">
        <w:rPr>
          <w:rFonts w:ascii="Times" w:hAnsi="Times"/>
          <w:i/>
          <w:iCs/>
        </w:rPr>
        <w:t>Tableau</w:t>
      </w:r>
      <w:r w:rsidR="00B0504C">
        <w:rPr>
          <w:rFonts w:ascii="Times" w:hAnsi="Times"/>
        </w:rPr>
        <w:t xml:space="preserve">, </w:t>
      </w:r>
      <w:r>
        <w:rPr>
          <w:rFonts w:ascii="Times" w:hAnsi="Times"/>
        </w:rPr>
        <w:t xml:space="preserve">where </w:t>
      </w:r>
      <w:r w:rsidR="00B0504C">
        <w:rPr>
          <w:rFonts w:ascii="Times" w:hAnsi="Times"/>
        </w:rPr>
        <w:t xml:space="preserve">data collected in 2018 on poverty, unemployment, and </w:t>
      </w:r>
      <w:r w:rsidR="004D1ED0">
        <w:rPr>
          <w:rFonts w:ascii="Times" w:hAnsi="Times"/>
        </w:rPr>
        <w:t xml:space="preserve">access to </w:t>
      </w:r>
      <w:r w:rsidR="00B0504C">
        <w:rPr>
          <w:rFonts w:ascii="Times" w:hAnsi="Times"/>
        </w:rPr>
        <w:t xml:space="preserve">health insurance across each American state </w:t>
      </w:r>
      <w:r w:rsidR="004D1ED0">
        <w:rPr>
          <w:rFonts w:ascii="Times" w:hAnsi="Times"/>
        </w:rPr>
        <w:t>is visually outlined</w:t>
      </w:r>
      <w:r w:rsidR="00B0504C">
        <w:rPr>
          <w:rFonts w:ascii="Times" w:hAnsi="Times"/>
        </w:rPr>
        <w:t xml:space="preserve">. Figure 2.1 </w:t>
      </w:r>
      <w:r w:rsidR="00DD42F7">
        <w:rPr>
          <w:rFonts w:ascii="Times" w:hAnsi="Times"/>
        </w:rPr>
        <w:t>is an example of</w:t>
      </w:r>
      <w:r w:rsidR="00B0504C">
        <w:rPr>
          <w:rFonts w:ascii="Times" w:hAnsi="Times"/>
        </w:rPr>
        <w:t xml:space="preserve"> specific data </w:t>
      </w:r>
      <w:r w:rsidR="00DD42F7">
        <w:rPr>
          <w:rFonts w:ascii="Times" w:hAnsi="Times"/>
        </w:rPr>
        <w:t>visualizations</w:t>
      </w:r>
      <w:r w:rsidR="00B0504C">
        <w:rPr>
          <w:rFonts w:ascii="Times" w:hAnsi="Times"/>
        </w:rPr>
        <w:t xml:space="preserve"> </w:t>
      </w:r>
      <w:r w:rsidR="00DD42F7">
        <w:rPr>
          <w:rFonts w:ascii="Times" w:hAnsi="Times"/>
        </w:rPr>
        <w:t>on</w:t>
      </w:r>
      <w:r w:rsidR="00B0504C">
        <w:rPr>
          <w:rFonts w:ascii="Times" w:hAnsi="Times"/>
        </w:rPr>
        <w:t xml:space="preserve"> the Kalmus (2020) </w:t>
      </w:r>
      <w:r w:rsidR="00DD42F7">
        <w:rPr>
          <w:rFonts w:ascii="Times" w:hAnsi="Times"/>
        </w:rPr>
        <w:t>Tableau</w:t>
      </w:r>
      <w:r w:rsidR="00B0504C">
        <w:rPr>
          <w:rFonts w:ascii="Times" w:hAnsi="Times"/>
        </w:rPr>
        <w:t xml:space="preserve">, where the user is able to scroll over a map of the United States and see state-specific information related to the estimated population of women and girls, as well as how many of these individuals do not have access to health insurance, how many are unemployed, and how many experience poverty. Figures 2.2 and 2.3 underscore additional data that contributes to period poverty in the United States. More specifically, the bar chart in Figure 2.2 outlines the number of period equity laws in both 2018 and 2019, with the red bars representing how many states eliminated tax on period products. The green, pink and purple bars represent the number of correctional facilities, schools and shelters that have made attempts to increase accessibility to period products in their </w:t>
      </w:r>
      <w:r w:rsidR="00B0504C">
        <w:rPr>
          <w:rFonts w:ascii="Times" w:hAnsi="Times"/>
        </w:rPr>
        <w:lastRenderedPageBreak/>
        <w:t>institutions. An integrate</w:t>
      </w:r>
      <w:r w:rsidR="00DD42F7">
        <w:rPr>
          <w:rFonts w:ascii="Times" w:hAnsi="Times"/>
        </w:rPr>
        <w:t>d</w:t>
      </w:r>
      <w:r w:rsidR="00B0504C">
        <w:rPr>
          <w:rFonts w:ascii="Times" w:hAnsi="Times"/>
        </w:rPr>
        <w:t xml:space="preserve"> link titled ‘What about the Impact of COVID-19’ takes the user to an image of another map of the United States, where unemployment trends across each individual state can be tracked from 2018 to 2020. To see trends in data, the user is required to use a sliding bar to change from year to year. </w:t>
      </w:r>
      <w:r w:rsidR="00DD42F7">
        <w:rPr>
          <w:rFonts w:ascii="Times" w:hAnsi="Times"/>
        </w:rPr>
        <w:t>For more information, a</w:t>
      </w:r>
      <w:r w:rsidR="00B0504C">
        <w:rPr>
          <w:rFonts w:ascii="Times" w:hAnsi="Times"/>
        </w:rPr>
        <w:t xml:space="preserve"> link to the Period Poverty Tableau is included below figures</w:t>
      </w:r>
      <w:r w:rsidR="00EC7E49">
        <w:rPr>
          <w:rFonts w:ascii="Times" w:hAnsi="Times"/>
        </w:rPr>
        <w:t xml:space="preserve"> 2.2 and 2.3</w:t>
      </w:r>
      <w:r w:rsidR="00B0504C">
        <w:rPr>
          <w:rFonts w:ascii="Times" w:hAnsi="Times"/>
        </w:rPr>
        <w:t xml:space="preserve">. </w:t>
      </w:r>
    </w:p>
    <w:p w14:paraId="378CB6AE" w14:textId="33CAC515" w:rsidR="00E357C0" w:rsidRDefault="00E70F29" w:rsidP="003014DF">
      <w:pPr>
        <w:spacing w:line="360" w:lineRule="auto"/>
        <w:ind w:firstLine="720"/>
        <w:rPr>
          <w:rFonts w:ascii="Times" w:hAnsi="Times"/>
        </w:rPr>
      </w:pPr>
      <w:r>
        <w:rPr>
          <w:rFonts w:ascii="Times" w:hAnsi="Times"/>
        </w:rPr>
        <w:t xml:space="preserve">This </w:t>
      </w:r>
      <w:r w:rsidR="00EC7E49">
        <w:rPr>
          <w:rFonts w:ascii="Times" w:hAnsi="Times"/>
        </w:rPr>
        <w:t>Tableau</w:t>
      </w:r>
      <w:r>
        <w:rPr>
          <w:rFonts w:ascii="Times" w:hAnsi="Times"/>
        </w:rPr>
        <w:t xml:space="preserve"> piece </w:t>
      </w:r>
      <w:r w:rsidR="00E357C0">
        <w:rPr>
          <w:rFonts w:ascii="Times" w:hAnsi="Times"/>
        </w:rPr>
        <w:t>contains various engaging elements, with interactive components creating a visualization that is informative and aesthetically strong</w:t>
      </w:r>
      <w:r>
        <w:rPr>
          <w:rFonts w:ascii="Times" w:hAnsi="Times"/>
        </w:rPr>
        <w:t xml:space="preserve">. </w:t>
      </w:r>
      <w:r w:rsidR="00E357C0">
        <w:rPr>
          <w:rFonts w:ascii="Times" w:hAnsi="Times"/>
        </w:rPr>
        <w:t>The choice of colour generally contrasts well for visual purposes and is not overwhelming or hard to visually perceive. Having the option to jump between pages to learn more about specific factors (e.g., data in 2018 related to unemployment, health insurance, and poverty) as well as recent considerations (e.g., the impact of COVID-19 on period poverty and unemployment)</w:t>
      </w:r>
      <w:r w:rsidR="00EC7E49">
        <w:rPr>
          <w:rFonts w:ascii="Times" w:hAnsi="Times"/>
        </w:rPr>
        <w:t xml:space="preserve"> adds to the overall organization of the visualization and leaves space for a more fulsome story</w:t>
      </w:r>
      <w:r w:rsidR="00E357C0">
        <w:rPr>
          <w:rFonts w:ascii="Times" w:hAnsi="Times"/>
        </w:rPr>
        <w:t xml:space="preserve">. In addition to the visual aesthetics and use of multi-links, the choice to use a map and bar graphs for data presentation purposes was relatively strong. Given that much of the data reported is discrete data, the use of a bar graph allows for a clear comparison of values. Percentiles are easily mapped to their associated ‘State’, and using a map for nominal data (e.g., which states provide affordable products for correctional facilities, schools, and shelters) allows for a creative visualization rather than using a grouping method (i.e., grouping participating states under each institution). </w:t>
      </w:r>
    </w:p>
    <w:p w14:paraId="5D832B81" w14:textId="78EDE054" w:rsidR="00E70F29" w:rsidRDefault="00E357C0" w:rsidP="00552745">
      <w:pPr>
        <w:spacing w:line="360" w:lineRule="auto"/>
        <w:ind w:firstLine="720"/>
        <w:rPr>
          <w:rFonts w:ascii="Times" w:hAnsi="Times"/>
        </w:rPr>
      </w:pPr>
      <w:r>
        <w:rPr>
          <w:rFonts w:ascii="Times" w:hAnsi="Times"/>
        </w:rPr>
        <w:t xml:space="preserve">One general drawback to the Tableau is in reference to the type of data collected (which may be representative of the scarcity of data collected on the topic or the methodology used for surveying participants). Menstruating individuals who do not identify as women are not explicitly included. </w:t>
      </w:r>
      <w:r w:rsidR="001A0CB0">
        <w:rPr>
          <w:rFonts w:ascii="Times" w:hAnsi="Times"/>
        </w:rPr>
        <w:t>Additionally, t</w:t>
      </w:r>
      <w:r>
        <w:rPr>
          <w:rFonts w:ascii="Times" w:hAnsi="Times"/>
        </w:rPr>
        <w:t xml:space="preserve">his data focuses almost exclusively on unemployment rates rather than other variables that directly </w:t>
      </w:r>
      <w:r w:rsidR="001A0CB0">
        <w:rPr>
          <w:rFonts w:ascii="Times" w:hAnsi="Times"/>
        </w:rPr>
        <w:t>relate to</w:t>
      </w:r>
      <w:r>
        <w:rPr>
          <w:rFonts w:ascii="Times" w:hAnsi="Times"/>
        </w:rPr>
        <w:t xml:space="preserve"> period poverty </w:t>
      </w:r>
      <w:r w:rsidR="001A0CB0">
        <w:rPr>
          <w:rFonts w:ascii="Times" w:hAnsi="Times"/>
        </w:rPr>
        <w:t>variables</w:t>
      </w:r>
      <w:r>
        <w:rPr>
          <w:rFonts w:ascii="Times" w:hAnsi="Times"/>
        </w:rPr>
        <w:t xml:space="preserve"> (e.g., how many individuals are unable to afford sanitary products). The colours used on the map in Figure 2.2 lack contrast from the black background, making it less apparent which states participate in product accessibility </w:t>
      </w:r>
      <w:r w:rsidR="00552745">
        <w:rPr>
          <w:rFonts w:ascii="Times" w:hAnsi="Times"/>
        </w:rPr>
        <w:t>initiatives</w:t>
      </w:r>
      <w:r>
        <w:rPr>
          <w:rFonts w:ascii="Times" w:hAnsi="Times"/>
        </w:rPr>
        <w:t xml:space="preserve">. It is also rather unclear </w:t>
      </w:r>
      <w:r w:rsidRPr="00552745">
        <w:rPr>
          <w:rFonts w:ascii="Times" w:hAnsi="Times"/>
          <w:i/>
          <w:iCs/>
        </w:rPr>
        <w:t>what</w:t>
      </w:r>
      <w:r w:rsidR="00552745">
        <w:rPr>
          <w:rFonts w:ascii="Times" w:hAnsi="Times"/>
        </w:rPr>
        <w:t xml:space="preserve"> the bar graph and map are conveying with respect to the data collected for correctional facilities, schools, and shelters; some extrapolation </w:t>
      </w:r>
      <w:r w:rsidR="001A0CB0">
        <w:rPr>
          <w:rFonts w:ascii="Times" w:hAnsi="Times"/>
        </w:rPr>
        <w:t xml:space="preserve">from the first bar (i.e., </w:t>
      </w:r>
      <w:r w:rsidR="00552745">
        <w:rPr>
          <w:rFonts w:ascii="Times" w:hAnsi="Times"/>
        </w:rPr>
        <w:t>eliminated period tax</w:t>
      </w:r>
      <w:r w:rsidR="001A0CB0">
        <w:rPr>
          <w:rFonts w:ascii="Times" w:hAnsi="Times"/>
        </w:rPr>
        <w:t>)</w:t>
      </w:r>
      <w:r w:rsidR="00552745">
        <w:rPr>
          <w:rFonts w:ascii="Times" w:hAnsi="Times"/>
        </w:rPr>
        <w:t xml:space="preserve"> and the title of the bar chart (i.e., ‘Number of Period Equity Laws in U.S. States’) is required</w:t>
      </w:r>
      <w:r w:rsidR="001A0CB0">
        <w:rPr>
          <w:rFonts w:ascii="Times" w:hAnsi="Times"/>
        </w:rPr>
        <w:t xml:space="preserve"> for interpretation</w:t>
      </w:r>
      <w:r w:rsidR="00552745">
        <w:rPr>
          <w:rFonts w:ascii="Times" w:hAnsi="Times"/>
        </w:rPr>
        <w:t xml:space="preserve">. The colour gradient used on the COVID-19 unemployment map (see Figure 2.3) </w:t>
      </w:r>
      <w:r w:rsidR="00B47B65">
        <w:rPr>
          <w:rFonts w:ascii="Times" w:hAnsi="Times"/>
        </w:rPr>
        <w:t>is</w:t>
      </w:r>
      <w:r w:rsidR="00552745">
        <w:rPr>
          <w:rFonts w:ascii="Times" w:hAnsi="Times"/>
        </w:rPr>
        <w:t xml:space="preserve"> also very similar across all states, making it less apparent which states have seen substantial change in unemployment </w:t>
      </w:r>
      <w:r w:rsidR="00552745">
        <w:rPr>
          <w:rFonts w:ascii="Times" w:hAnsi="Times"/>
        </w:rPr>
        <w:lastRenderedPageBreak/>
        <w:t>from 2018 to 2020. Instead, hovering over each state to see specific percentages of estimated unemployment is required</w:t>
      </w:r>
      <w:r w:rsidR="00F85E51">
        <w:rPr>
          <w:rFonts w:ascii="Times" w:hAnsi="Times"/>
        </w:rPr>
        <w:t xml:space="preserve"> to fully grasp any trends</w:t>
      </w:r>
      <w:r w:rsidR="00552745">
        <w:rPr>
          <w:rFonts w:ascii="Times" w:hAnsi="Times"/>
        </w:rPr>
        <w:t xml:space="preserve">. Finally, the data presented is specific to the United States. As such, the creation of a data visualization tool that outlines the </w:t>
      </w:r>
      <w:r w:rsidR="00552745" w:rsidRPr="00F85E51">
        <w:rPr>
          <w:rFonts w:ascii="Times" w:hAnsi="Times"/>
          <w:i/>
          <w:iCs/>
        </w:rPr>
        <w:t>global</w:t>
      </w:r>
      <w:r w:rsidR="00552745">
        <w:rPr>
          <w:rFonts w:ascii="Times" w:hAnsi="Times"/>
        </w:rPr>
        <w:t xml:space="preserve"> impact of period poverty </w:t>
      </w:r>
      <w:r w:rsidR="00F85E51">
        <w:rPr>
          <w:rFonts w:ascii="Times" w:hAnsi="Times"/>
        </w:rPr>
        <w:t>is</w:t>
      </w:r>
      <w:r w:rsidR="00552745">
        <w:rPr>
          <w:rFonts w:ascii="Times" w:hAnsi="Times"/>
        </w:rPr>
        <w:t xml:space="preserve"> instrumental to future </w:t>
      </w:r>
      <w:r w:rsidR="00F85E51">
        <w:rPr>
          <w:rFonts w:ascii="Times" w:hAnsi="Times"/>
        </w:rPr>
        <w:t xml:space="preserve">menstrual equity </w:t>
      </w:r>
      <w:r w:rsidR="00552745">
        <w:rPr>
          <w:rFonts w:ascii="Times" w:hAnsi="Times"/>
        </w:rPr>
        <w:t>efforts.</w:t>
      </w:r>
      <w:r w:rsidR="00E70F29">
        <w:rPr>
          <w:rFonts w:ascii="Times" w:hAnsi="Times"/>
        </w:rPr>
        <w:t xml:space="preserve"> To the author’s current knowledge, no global database, study or interface exists where period poverty statistics, legislation, and other intersecting factors </w:t>
      </w:r>
      <w:r w:rsidR="00F85E51">
        <w:rPr>
          <w:rFonts w:ascii="Times" w:hAnsi="Times"/>
        </w:rPr>
        <w:t>are presented for</w:t>
      </w:r>
      <w:r w:rsidR="00E70F29">
        <w:rPr>
          <w:rFonts w:ascii="Times" w:hAnsi="Times"/>
        </w:rPr>
        <w:t xml:space="preserve"> multiple countries. </w:t>
      </w:r>
    </w:p>
    <w:p w14:paraId="707B06FC" w14:textId="77777777" w:rsidR="00F85E51" w:rsidRPr="009F2D66" w:rsidRDefault="00F85E51" w:rsidP="00552745">
      <w:pPr>
        <w:spacing w:line="360" w:lineRule="auto"/>
        <w:ind w:firstLine="720"/>
        <w:rPr>
          <w:rFonts w:ascii="Times" w:hAnsi="Times"/>
          <w:sz w:val="8"/>
          <w:szCs w:val="8"/>
        </w:rPr>
      </w:pPr>
    </w:p>
    <w:p w14:paraId="0220352D" w14:textId="7AAF38E3" w:rsidR="00322855" w:rsidRDefault="00B0504C" w:rsidP="00D4014F">
      <w:pPr>
        <w:rPr>
          <w:rFonts w:ascii="Times" w:hAnsi="Times"/>
        </w:rPr>
      </w:pPr>
      <w:r w:rsidRPr="00B0504C">
        <w:rPr>
          <w:rFonts w:ascii="Times" w:hAnsi="Times"/>
          <w:b/>
          <w:bCs/>
        </w:rPr>
        <w:t>Figure 2.</w:t>
      </w:r>
      <w:r>
        <w:rPr>
          <w:rFonts w:ascii="Times" w:hAnsi="Times"/>
          <w:b/>
          <w:bCs/>
        </w:rPr>
        <w:t xml:space="preserve">1 </w:t>
      </w:r>
      <w:r>
        <w:rPr>
          <w:rFonts w:ascii="Times" w:hAnsi="Times"/>
        </w:rPr>
        <w:t>Public Tableau Interactive Visualization of Period Poverty in the United States.</w:t>
      </w:r>
    </w:p>
    <w:p w14:paraId="5CE3EC21" w14:textId="2F266057" w:rsidR="00322855" w:rsidRDefault="009F2D66" w:rsidP="00D4014F">
      <w:pPr>
        <w:rPr>
          <w:rFonts w:ascii="Times" w:hAnsi="Times"/>
        </w:rPr>
      </w:pPr>
      <w:r w:rsidRPr="00B0504C">
        <w:rPr>
          <w:b/>
          <w:bCs/>
          <w:noProof/>
        </w:rPr>
        <w:drawing>
          <wp:anchor distT="0" distB="0" distL="114300" distR="114300" simplePos="0" relativeHeight="251669504" behindDoc="1" locked="0" layoutInCell="1" allowOverlap="1" wp14:anchorId="5F7A626A" wp14:editId="4036D9B7">
            <wp:simplePos x="0" y="0"/>
            <wp:positionH relativeFrom="column">
              <wp:posOffset>466442</wp:posOffset>
            </wp:positionH>
            <wp:positionV relativeFrom="paragraph">
              <wp:posOffset>48895</wp:posOffset>
            </wp:positionV>
            <wp:extent cx="4270375" cy="2529205"/>
            <wp:effectExtent l="0" t="0" r="0" b="0"/>
            <wp:wrapTight wrapText="bothSides">
              <wp:wrapPolygon edited="0">
                <wp:start x="0" y="0"/>
                <wp:lineTo x="0" y="21475"/>
                <wp:lineTo x="21520" y="21475"/>
                <wp:lineTo x="21520" y="0"/>
                <wp:lineTo x="0" y="0"/>
              </wp:wrapPolygon>
            </wp:wrapTight>
            <wp:docPr id="1974459844" name="Picture 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3253" name="Picture 16" descr="A screenshot of a computer screen&#10;&#10;Description automatically generated"/>
                    <pic:cNvPicPr/>
                  </pic:nvPicPr>
                  <pic:blipFill rotWithShape="1">
                    <a:blip r:embed="rId15" cstate="print">
                      <a:extLst>
                        <a:ext uri="{28A0092B-C50C-407E-A947-70E740481C1C}">
                          <a14:useLocalDpi xmlns:a14="http://schemas.microsoft.com/office/drawing/2010/main" val="0"/>
                        </a:ext>
                      </a:extLst>
                    </a:blip>
                    <a:srcRect l="17527" t="14645" r="17227" b="15868"/>
                    <a:stretch/>
                  </pic:blipFill>
                  <pic:spPr bwMode="auto">
                    <a:xfrm>
                      <a:off x="0" y="0"/>
                      <a:ext cx="4270375" cy="252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66488" w14:textId="4D5F4D17" w:rsidR="00322855" w:rsidRDefault="00322855" w:rsidP="00D4014F">
      <w:pPr>
        <w:rPr>
          <w:rFonts w:ascii="Times" w:hAnsi="Times"/>
        </w:rPr>
      </w:pPr>
    </w:p>
    <w:p w14:paraId="75F89E47" w14:textId="21F5DAB3" w:rsidR="00322855" w:rsidRDefault="00322855" w:rsidP="00D4014F">
      <w:pPr>
        <w:rPr>
          <w:rFonts w:ascii="Times" w:hAnsi="Times"/>
        </w:rPr>
      </w:pPr>
    </w:p>
    <w:p w14:paraId="33E2ED11" w14:textId="77777777" w:rsidR="00B0504C" w:rsidRDefault="00B0504C" w:rsidP="00D4014F">
      <w:pPr>
        <w:rPr>
          <w:rFonts w:ascii="Times" w:hAnsi="Times"/>
        </w:rPr>
      </w:pPr>
    </w:p>
    <w:p w14:paraId="53056194" w14:textId="77777777" w:rsidR="00B0504C" w:rsidRDefault="00B0504C" w:rsidP="00D4014F">
      <w:pPr>
        <w:rPr>
          <w:rFonts w:ascii="Times" w:hAnsi="Times"/>
        </w:rPr>
      </w:pPr>
    </w:p>
    <w:p w14:paraId="34023A59" w14:textId="77777777" w:rsidR="00B0504C" w:rsidRDefault="00B0504C" w:rsidP="00D4014F">
      <w:pPr>
        <w:rPr>
          <w:rFonts w:ascii="Times" w:hAnsi="Times"/>
        </w:rPr>
      </w:pPr>
    </w:p>
    <w:p w14:paraId="15B8D5A3" w14:textId="77777777" w:rsidR="00B0504C" w:rsidRDefault="00B0504C" w:rsidP="00D4014F">
      <w:pPr>
        <w:rPr>
          <w:rFonts w:ascii="Times" w:hAnsi="Times"/>
        </w:rPr>
      </w:pPr>
    </w:p>
    <w:p w14:paraId="01D5A468" w14:textId="32307F1A" w:rsidR="00322855" w:rsidRDefault="00322855" w:rsidP="00D4014F">
      <w:pPr>
        <w:rPr>
          <w:rFonts w:ascii="Times" w:hAnsi="Times"/>
        </w:rPr>
      </w:pPr>
    </w:p>
    <w:p w14:paraId="4CC83EE7" w14:textId="77777777" w:rsidR="00B0504C" w:rsidRDefault="00B0504C" w:rsidP="00D4014F">
      <w:pPr>
        <w:rPr>
          <w:rFonts w:ascii="Times" w:hAnsi="Times"/>
        </w:rPr>
      </w:pPr>
    </w:p>
    <w:p w14:paraId="1CEFD456" w14:textId="77777777" w:rsidR="00B0504C" w:rsidRDefault="00B0504C" w:rsidP="00D4014F">
      <w:pPr>
        <w:rPr>
          <w:rFonts w:ascii="Times" w:hAnsi="Times"/>
        </w:rPr>
      </w:pPr>
    </w:p>
    <w:p w14:paraId="376909E6" w14:textId="77777777" w:rsidR="00B0504C" w:rsidRDefault="00B0504C" w:rsidP="00D4014F">
      <w:pPr>
        <w:rPr>
          <w:rFonts w:ascii="Times" w:hAnsi="Times"/>
        </w:rPr>
      </w:pPr>
    </w:p>
    <w:p w14:paraId="45051726" w14:textId="77777777" w:rsidR="00B0504C" w:rsidRDefault="00B0504C" w:rsidP="00D4014F">
      <w:pPr>
        <w:rPr>
          <w:rFonts w:ascii="Times" w:hAnsi="Times"/>
        </w:rPr>
      </w:pPr>
    </w:p>
    <w:p w14:paraId="4D477C12" w14:textId="77777777" w:rsidR="00B0504C" w:rsidRDefault="00B0504C" w:rsidP="00D4014F">
      <w:pPr>
        <w:rPr>
          <w:rFonts w:ascii="Times" w:hAnsi="Times"/>
        </w:rPr>
      </w:pPr>
    </w:p>
    <w:p w14:paraId="366390D8" w14:textId="77777777" w:rsidR="00B0504C" w:rsidRDefault="00B0504C" w:rsidP="00D4014F">
      <w:pPr>
        <w:rPr>
          <w:rFonts w:ascii="Times" w:hAnsi="Times"/>
        </w:rPr>
      </w:pPr>
    </w:p>
    <w:p w14:paraId="521F00BD" w14:textId="77777777" w:rsidR="00B0504C" w:rsidRDefault="00B0504C" w:rsidP="00D4014F">
      <w:pPr>
        <w:rPr>
          <w:rFonts w:ascii="Times" w:hAnsi="Times"/>
        </w:rPr>
      </w:pPr>
    </w:p>
    <w:p w14:paraId="6A61A815" w14:textId="3CCB09EA" w:rsidR="00552745" w:rsidRPr="009F2D66" w:rsidRDefault="00552745" w:rsidP="00D4014F">
      <w:pPr>
        <w:rPr>
          <w:rFonts w:ascii="Times" w:hAnsi="Times"/>
          <w:b/>
          <w:bCs/>
          <w:sz w:val="15"/>
          <w:szCs w:val="15"/>
        </w:rPr>
      </w:pPr>
    </w:p>
    <w:p w14:paraId="3FDBFE2B" w14:textId="5D0449E5" w:rsidR="00D4014F" w:rsidRDefault="009F2D66" w:rsidP="00D4014F">
      <w:pPr>
        <w:rPr>
          <w:rFonts w:ascii="Times" w:hAnsi="Times"/>
        </w:rPr>
      </w:pPr>
      <w:r w:rsidRPr="00B0504C">
        <w:rPr>
          <w:b/>
          <w:bCs/>
          <w:noProof/>
        </w:rPr>
        <w:drawing>
          <wp:anchor distT="0" distB="0" distL="114300" distR="114300" simplePos="0" relativeHeight="251675648" behindDoc="0" locked="0" layoutInCell="1" allowOverlap="1" wp14:anchorId="3931BEF3" wp14:editId="24287C57">
            <wp:simplePos x="0" y="0"/>
            <wp:positionH relativeFrom="column">
              <wp:posOffset>2849880</wp:posOffset>
            </wp:positionH>
            <wp:positionV relativeFrom="paragraph">
              <wp:posOffset>340360</wp:posOffset>
            </wp:positionV>
            <wp:extent cx="3788410" cy="2412365"/>
            <wp:effectExtent l="0" t="0" r="0" b="635"/>
            <wp:wrapNone/>
            <wp:docPr id="656276911"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76911" name="Picture 18" descr="A screenshot of a computer screen&#10;&#10;Description automatically generated"/>
                    <pic:cNvPicPr/>
                  </pic:nvPicPr>
                  <pic:blipFill rotWithShape="1">
                    <a:blip r:embed="rId16" cstate="print">
                      <a:extLst>
                        <a:ext uri="{28A0092B-C50C-407E-A947-70E740481C1C}">
                          <a14:useLocalDpi xmlns:a14="http://schemas.microsoft.com/office/drawing/2010/main" val="0"/>
                        </a:ext>
                      </a:extLst>
                    </a:blip>
                    <a:srcRect l="17626" t="11804" r="17232" b="14420"/>
                    <a:stretch/>
                  </pic:blipFill>
                  <pic:spPr bwMode="auto">
                    <a:xfrm>
                      <a:off x="0" y="0"/>
                      <a:ext cx="3788410" cy="241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504C">
        <w:rPr>
          <w:b/>
          <w:bCs/>
          <w:noProof/>
        </w:rPr>
        <w:drawing>
          <wp:anchor distT="0" distB="0" distL="114300" distR="114300" simplePos="0" relativeHeight="251671552" behindDoc="0" locked="0" layoutInCell="1" allowOverlap="1" wp14:anchorId="6E373002" wp14:editId="0893AB8A">
            <wp:simplePos x="0" y="0"/>
            <wp:positionH relativeFrom="column">
              <wp:posOffset>-671195</wp:posOffset>
            </wp:positionH>
            <wp:positionV relativeFrom="paragraph">
              <wp:posOffset>339374</wp:posOffset>
            </wp:positionV>
            <wp:extent cx="3435985" cy="2412365"/>
            <wp:effectExtent l="0" t="0" r="5715" b="635"/>
            <wp:wrapNone/>
            <wp:docPr id="926495679" name="Picture 1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61067" name="Picture 17" descr="A screenshot of a computer screen&#10;&#10;Description automatically generated"/>
                    <pic:cNvPicPr/>
                  </pic:nvPicPr>
                  <pic:blipFill rotWithShape="1">
                    <a:blip r:embed="rId17" cstate="print">
                      <a:extLst>
                        <a:ext uri="{28A0092B-C50C-407E-A947-70E740481C1C}">
                          <a14:useLocalDpi xmlns:a14="http://schemas.microsoft.com/office/drawing/2010/main" val="0"/>
                        </a:ext>
                      </a:extLst>
                    </a:blip>
                    <a:srcRect l="17527" t="16722" r="17234"/>
                    <a:stretch/>
                  </pic:blipFill>
                  <pic:spPr bwMode="auto">
                    <a:xfrm>
                      <a:off x="0" y="0"/>
                      <a:ext cx="3435985" cy="241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04C" w:rsidRPr="00B0504C">
        <w:rPr>
          <w:rFonts w:ascii="Times" w:hAnsi="Times"/>
          <w:b/>
          <w:bCs/>
        </w:rPr>
        <w:t>Figure</w:t>
      </w:r>
      <w:r w:rsidR="00B0504C">
        <w:rPr>
          <w:rFonts w:ascii="Times" w:hAnsi="Times"/>
          <w:b/>
          <w:bCs/>
        </w:rPr>
        <w:t>s</w:t>
      </w:r>
      <w:r w:rsidR="00B0504C" w:rsidRPr="00B0504C">
        <w:rPr>
          <w:rFonts w:ascii="Times" w:hAnsi="Times"/>
          <w:b/>
          <w:bCs/>
        </w:rPr>
        <w:t xml:space="preserve"> 2.</w:t>
      </w:r>
      <w:r w:rsidR="00B0504C">
        <w:rPr>
          <w:rFonts w:ascii="Times" w:hAnsi="Times"/>
          <w:b/>
          <w:bCs/>
        </w:rPr>
        <w:t xml:space="preserve">2 &amp; 2.3 </w:t>
      </w:r>
      <w:r w:rsidR="00B0504C">
        <w:rPr>
          <w:rFonts w:ascii="Times" w:hAnsi="Times"/>
        </w:rPr>
        <w:t>Public Tableau Period Equity Law Data and Unemployment Across 2018-2020</w:t>
      </w:r>
    </w:p>
    <w:p w14:paraId="6FB7C7BF" w14:textId="2427B25E" w:rsidR="009F2D66" w:rsidRDefault="009F2D66" w:rsidP="00D4014F">
      <w:pPr>
        <w:rPr>
          <w:rFonts w:ascii="Times" w:hAnsi="Times"/>
        </w:rPr>
      </w:pPr>
    </w:p>
    <w:p w14:paraId="436BE3C4" w14:textId="7EDF7123" w:rsidR="00D4014F" w:rsidRPr="00D4014F" w:rsidRDefault="00D4014F" w:rsidP="00D4014F">
      <w:pPr>
        <w:rPr>
          <w:rFonts w:ascii="Times" w:hAnsi="Times"/>
        </w:rPr>
      </w:pPr>
    </w:p>
    <w:p w14:paraId="33B9AA0E" w14:textId="62169E2A" w:rsidR="00D4014F" w:rsidRPr="00D4014F" w:rsidRDefault="00D4014F" w:rsidP="00D4014F">
      <w:pPr>
        <w:rPr>
          <w:rFonts w:ascii="Times" w:hAnsi="Times"/>
        </w:rPr>
      </w:pPr>
    </w:p>
    <w:p w14:paraId="294F0240" w14:textId="330CAF01" w:rsidR="00D4014F" w:rsidRPr="00D4014F" w:rsidRDefault="00D4014F" w:rsidP="00D4014F">
      <w:pPr>
        <w:rPr>
          <w:rFonts w:ascii="Times" w:hAnsi="Times"/>
        </w:rPr>
      </w:pPr>
    </w:p>
    <w:p w14:paraId="0646BCA3" w14:textId="168DDDF6" w:rsidR="00D4014F" w:rsidRPr="00D4014F" w:rsidRDefault="00D4014F" w:rsidP="00D4014F">
      <w:pPr>
        <w:rPr>
          <w:rFonts w:ascii="Times" w:hAnsi="Times"/>
        </w:rPr>
      </w:pPr>
    </w:p>
    <w:p w14:paraId="33177C1F" w14:textId="22711EBE" w:rsidR="00B0504C" w:rsidRDefault="00B0504C" w:rsidP="00B0504C">
      <w:pPr>
        <w:tabs>
          <w:tab w:val="left" w:pos="6999"/>
        </w:tabs>
        <w:rPr>
          <w:rFonts w:ascii="Times" w:hAnsi="Times"/>
        </w:rPr>
      </w:pPr>
    </w:p>
    <w:p w14:paraId="7DBBAA39" w14:textId="357714A5" w:rsidR="00B0504C" w:rsidRDefault="00B0504C" w:rsidP="00B0504C">
      <w:pPr>
        <w:tabs>
          <w:tab w:val="left" w:pos="6999"/>
        </w:tabs>
        <w:rPr>
          <w:rFonts w:ascii="Times" w:hAnsi="Times"/>
        </w:rPr>
      </w:pPr>
    </w:p>
    <w:p w14:paraId="537C89EB" w14:textId="4B4DA7CD" w:rsidR="00D4014F" w:rsidRDefault="00D4014F" w:rsidP="00B0504C">
      <w:pPr>
        <w:tabs>
          <w:tab w:val="left" w:pos="6999"/>
        </w:tabs>
        <w:rPr>
          <w:rFonts w:ascii="Times" w:hAnsi="Times"/>
        </w:rPr>
      </w:pPr>
      <w:r>
        <w:rPr>
          <w:rFonts w:ascii="Times" w:hAnsi="Times"/>
        </w:rPr>
        <w:tab/>
      </w:r>
    </w:p>
    <w:p w14:paraId="5BFC78EB" w14:textId="0617CD2E" w:rsidR="00B0504C" w:rsidRDefault="00B0504C" w:rsidP="00B0504C">
      <w:pPr>
        <w:tabs>
          <w:tab w:val="left" w:pos="6999"/>
        </w:tabs>
        <w:rPr>
          <w:rFonts w:ascii="Times" w:hAnsi="Times"/>
        </w:rPr>
      </w:pPr>
    </w:p>
    <w:p w14:paraId="54930C0E" w14:textId="107438CC" w:rsidR="00D4014F" w:rsidRPr="00D4014F" w:rsidRDefault="00D4014F" w:rsidP="00D4014F">
      <w:pPr>
        <w:tabs>
          <w:tab w:val="left" w:pos="6999"/>
        </w:tabs>
        <w:rPr>
          <w:rFonts w:ascii="Times" w:hAnsi="Times"/>
        </w:rPr>
      </w:pPr>
    </w:p>
    <w:p w14:paraId="6F3CF092" w14:textId="77777777" w:rsidR="00B0504C" w:rsidRDefault="00B0504C" w:rsidP="009F2D66">
      <w:pPr>
        <w:spacing w:line="360" w:lineRule="auto"/>
        <w:rPr>
          <w:rFonts w:ascii="Times" w:hAnsi="Times"/>
        </w:rPr>
      </w:pPr>
    </w:p>
    <w:p w14:paraId="7220E4D7" w14:textId="77777777" w:rsidR="00B0504C" w:rsidRDefault="00B0504C" w:rsidP="00B0504C">
      <w:pPr>
        <w:spacing w:line="360" w:lineRule="auto"/>
        <w:rPr>
          <w:rFonts w:ascii="Times" w:hAnsi="Times"/>
        </w:rPr>
      </w:pPr>
    </w:p>
    <w:p w14:paraId="6BD333EB" w14:textId="77777777" w:rsidR="009F2D66" w:rsidRDefault="009F2D66" w:rsidP="00B0504C">
      <w:pPr>
        <w:spacing w:line="360" w:lineRule="auto"/>
        <w:rPr>
          <w:rFonts w:ascii="Times" w:hAnsi="Times"/>
        </w:rPr>
      </w:pPr>
    </w:p>
    <w:p w14:paraId="736C8917" w14:textId="798E7578" w:rsidR="00B0504C" w:rsidRPr="009F2D66" w:rsidRDefault="00000000" w:rsidP="00B0504C">
      <w:pPr>
        <w:spacing w:line="360" w:lineRule="auto"/>
        <w:rPr>
          <w:rFonts w:ascii="Times" w:hAnsi="Times"/>
          <w:sz w:val="22"/>
          <w:szCs w:val="22"/>
        </w:rPr>
      </w:pPr>
      <w:hyperlink r:id="rId18" w:history="1">
        <w:r w:rsidR="00B0504C" w:rsidRPr="009F2D66">
          <w:rPr>
            <w:rStyle w:val="Hyperlink"/>
            <w:rFonts w:ascii="Times" w:hAnsi="Times"/>
            <w:sz w:val="22"/>
            <w:szCs w:val="22"/>
          </w:rPr>
          <w:t>https://public.tableau.com/app/profile/niki.kalmus4294/viz/PERIOD_POVERTY_All_Updates_AUG3_15965554096230/Introduction</w:t>
        </w:r>
      </w:hyperlink>
      <w:r w:rsidR="00B0504C" w:rsidRPr="009F2D66">
        <w:rPr>
          <w:rFonts w:ascii="Times" w:hAnsi="Times"/>
          <w:sz w:val="22"/>
          <w:szCs w:val="22"/>
        </w:rPr>
        <w:t xml:space="preserve"> </w:t>
      </w:r>
    </w:p>
    <w:p w14:paraId="319D9EB6" w14:textId="77777777" w:rsidR="00B0504C" w:rsidRDefault="00B0504C" w:rsidP="00552745">
      <w:pPr>
        <w:spacing w:line="360" w:lineRule="auto"/>
        <w:rPr>
          <w:rFonts w:ascii="Times" w:hAnsi="Times"/>
        </w:rPr>
      </w:pPr>
    </w:p>
    <w:p w14:paraId="4B68A4C7" w14:textId="4EEAD410" w:rsidR="00AD7B81" w:rsidRDefault="00552745" w:rsidP="00AD7B81">
      <w:pPr>
        <w:spacing w:line="360" w:lineRule="auto"/>
        <w:ind w:firstLine="720"/>
        <w:jc w:val="center"/>
        <w:rPr>
          <w:rFonts w:ascii="Times" w:hAnsi="Times"/>
        </w:rPr>
      </w:pPr>
      <w:r>
        <w:rPr>
          <w:rFonts w:ascii="Times" w:hAnsi="Times"/>
        </w:rPr>
        <w:lastRenderedPageBreak/>
        <w:t xml:space="preserve">Creating a </w:t>
      </w:r>
      <w:r w:rsidR="00AD7B81" w:rsidRPr="00935589">
        <w:rPr>
          <w:rFonts w:ascii="Times" w:hAnsi="Times"/>
        </w:rPr>
        <w:t xml:space="preserve">Long-Form </w:t>
      </w:r>
      <w:r w:rsidR="00385B79">
        <w:rPr>
          <w:rFonts w:ascii="Times" w:hAnsi="Times"/>
        </w:rPr>
        <w:t>Feature Story</w:t>
      </w:r>
    </w:p>
    <w:p w14:paraId="6EDB83E5" w14:textId="77777777" w:rsidR="00552745" w:rsidRPr="00935589" w:rsidRDefault="00552745" w:rsidP="00AD7B81">
      <w:pPr>
        <w:spacing w:line="360" w:lineRule="auto"/>
        <w:ind w:firstLine="720"/>
        <w:jc w:val="center"/>
        <w:rPr>
          <w:rFonts w:ascii="Times" w:hAnsi="Times"/>
        </w:rPr>
      </w:pPr>
    </w:p>
    <w:p w14:paraId="6AFEAF06" w14:textId="4EC95616" w:rsidR="00385B79" w:rsidRPr="00385B79" w:rsidRDefault="00552745" w:rsidP="00385B79">
      <w:pPr>
        <w:spacing w:line="360" w:lineRule="auto"/>
        <w:ind w:firstLine="720"/>
        <w:rPr>
          <w:rFonts w:ascii="Times" w:hAnsi="Times"/>
        </w:rPr>
      </w:pPr>
      <w:r>
        <w:rPr>
          <w:rFonts w:ascii="Times" w:hAnsi="Times"/>
        </w:rPr>
        <w:t xml:space="preserve">In light of the current state of peer-review research and efforts of data collection made by not-for-profit agencies, </w:t>
      </w:r>
      <w:r w:rsidR="00D15007">
        <w:rPr>
          <w:rFonts w:ascii="Times" w:hAnsi="Times"/>
        </w:rPr>
        <w:t>the</w:t>
      </w:r>
      <w:r>
        <w:rPr>
          <w:rFonts w:ascii="Times" w:hAnsi="Times"/>
        </w:rPr>
        <w:t xml:space="preserve"> goal </w:t>
      </w:r>
      <w:r w:rsidR="00D15007">
        <w:rPr>
          <w:rFonts w:ascii="Times" w:hAnsi="Times"/>
        </w:rPr>
        <w:t>of this proposal is</w:t>
      </w:r>
      <w:r>
        <w:rPr>
          <w:rFonts w:ascii="Times" w:hAnsi="Times"/>
        </w:rPr>
        <w:t xml:space="preserve"> to combine efforts </w:t>
      </w:r>
      <w:r w:rsidR="00D15007">
        <w:rPr>
          <w:rFonts w:ascii="Times" w:hAnsi="Times"/>
        </w:rPr>
        <w:t>via one</w:t>
      </w:r>
      <w:r w:rsidR="00385B79" w:rsidRPr="00385B79">
        <w:rPr>
          <w:rFonts w:ascii="Times" w:hAnsi="Times"/>
        </w:rPr>
        <w:t xml:space="preserve"> long-form virtual feature story. Data</w:t>
      </w:r>
      <w:r>
        <w:rPr>
          <w:rFonts w:ascii="Times" w:hAnsi="Times"/>
        </w:rPr>
        <w:t>-</w:t>
      </w:r>
      <w:r w:rsidR="00385B79" w:rsidRPr="00385B79">
        <w:rPr>
          <w:rFonts w:ascii="Times" w:hAnsi="Times"/>
        </w:rPr>
        <w:t xml:space="preserve">driven journalism </w:t>
      </w:r>
      <w:r w:rsidR="00D15007">
        <w:rPr>
          <w:rFonts w:ascii="Times" w:hAnsi="Times"/>
        </w:rPr>
        <w:t xml:space="preserve">is an effective tool for marrying </w:t>
      </w:r>
      <w:r w:rsidR="00385B79" w:rsidRPr="00385B79">
        <w:rPr>
          <w:rFonts w:ascii="Times" w:hAnsi="Times"/>
        </w:rPr>
        <w:t xml:space="preserve">storytelling </w:t>
      </w:r>
      <w:r w:rsidR="002A5330">
        <w:rPr>
          <w:rFonts w:ascii="Times" w:hAnsi="Times"/>
        </w:rPr>
        <w:t>and</w:t>
      </w:r>
      <w:r w:rsidR="00385B79" w:rsidRPr="00385B79">
        <w:rPr>
          <w:rFonts w:ascii="Times" w:hAnsi="Times"/>
        </w:rPr>
        <w:t xml:space="preserve"> data</w:t>
      </w:r>
      <w:r w:rsidR="002A5330">
        <w:rPr>
          <w:rFonts w:ascii="Times" w:hAnsi="Times"/>
        </w:rPr>
        <w:t xml:space="preserve"> dissemination</w:t>
      </w:r>
      <w:r>
        <w:rPr>
          <w:rFonts w:ascii="Times" w:hAnsi="Times"/>
        </w:rPr>
        <w:t xml:space="preserve">, and </w:t>
      </w:r>
      <w:r w:rsidR="00D15007">
        <w:rPr>
          <w:rFonts w:ascii="Times" w:hAnsi="Times"/>
        </w:rPr>
        <w:t>the use of a central</w:t>
      </w:r>
      <w:r>
        <w:rPr>
          <w:rFonts w:ascii="Times" w:hAnsi="Times"/>
        </w:rPr>
        <w:t xml:space="preserve"> story with </w:t>
      </w:r>
      <w:r w:rsidR="00D15007">
        <w:rPr>
          <w:rFonts w:ascii="Times" w:hAnsi="Times"/>
        </w:rPr>
        <w:t>interactive</w:t>
      </w:r>
      <w:r>
        <w:rPr>
          <w:rFonts w:ascii="Times" w:hAnsi="Times"/>
        </w:rPr>
        <w:t xml:space="preserve"> features </w:t>
      </w:r>
      <w:r w:rsidR="00D15007">
        <w:rPr>
          <w:rFonts w:ascii="Times" w:hAnsi="Times"/>
        </w:rPr>
        <w:t>may serve as a foundation</w:t>
      </w:r>
      <w:r>
        <w:rPr>
          <w:rFonts w:ascii="Times" w:hAnsi="Times"/>
        </w:rPr>
        <w:t xml:space="preserve"> for targeting menstrual inequity at large</w:t>
      </w:r>
      <w:r w:rsidR="00385B79" w:rsidRPr="00385B79">
        <w:rPr>
          <w:rFonts w:ascii="Times" w:hAnsi="Times"/>
        </w:rPr>
        <w:t xml:space="preserve">. </w:t>
      </w:r>
    </w:p>
    <w:p w14:paraId="5A0A4D00" w14:textId="3D0C2FA4" w:rsidR="00BE05BF" w:rsidRDefault="00D15007" w:rsidP="000A21E5">
      <w:pPr>
        <w:spacing w:line="360" w:lineRule="auto"/>
        <w:ind w:firstLine="720"/>
        <w:rPr>
          <w:rFonts w:ascii="Times" w:hAnsi="Times"/>
        </w:rPr>
      </w:pPr>
      <w:r>
        <w:rPr>
          <w:rFonts w:ascii="Times" w:hAnsi="Times"/>
        </w:rPr>
        <w:t xml:space="preserve">A three-component ‘workflow’ was proposed by </w:t>
      </w:r>
      <w:r w:rsidR="00385B79" w:rsidRPr="00385B79">
        <w:rPr>
          <w:rFonts w:ascii="Times" w:hAnsi="Times"/>
        </w:rPr>
        <w:t xml:space="preserve">Lorenz (2010) </w:t>
      </w:r>
      <w:r>
        <w:rPr>
          <w:rFonts w:ascii="Times" w:hAnsi="Times"/>
        </w:rPr>
        <w:t xml:space="preserve">in an effort to place </w:t>
      </w:r>
      <w:r w:rsidR="00385B79" w:rsidRPr="00385B79">
        <w:rPr>
          <w:rFonts w:ascii="Times" w:hAnsi="Times"/>
        </w:rPr>
        <w:t xml:space="preserve">data visualization </w:t>
      </w:r>
      <w:r>
        <w:rPr>
          <w:rFonts w:ascii="Times" w:hAnsi="Times"/>
        </w:rPr>
        <w:t>at</w:t>
      </w:r>
      <w:r w:rsidR="00385B79" w:rsidRPr="00385B79">
        <w:rPr>
          <w:rFonts w:ascii="Times" w:hAnsi="Times"/>
        </w:rPr>
        <w:t xml:space="preserve"> the core of a successful journal story. These steps largely include identifying and integrating data; applying visualization methods to understand said data; and </w:t>
      </w:r>
      <w:r w:rsidR="00F56D22">
        <w:rPr>
          <w:rFonts w:ascii="Times" w:hAnsi="Times"/>
        </w:rPr>
        <w:t>using storytelling to explain visualizations</w:t>
      </w:r>
      <w:r w:rsidR="00385B79" w:rsidRPr="00385B79">
        <w:rPr>
          <w:rFonts w:ascii="Times" w:hAnsi="Times"/>
        </w:rPr>
        <w:t xml:space="preserve">. </w:t>
      </w:r>
      <w:r w:rsidR="002A5330">
        <w:rPr>
          <w:rFonts w:ascii="Times" w:hAnsi="Times"/>
        </w:rPr>
        <w:t xml:space="preserve">Given the current </w:t>
      </w:r>
      <w:r>
        <w:rPr>
          <w:rFonts w:ascii="Times" w:hAnsi="Times"/>
        </w:rPr>
        <w:t xml:space="preserve">state of </w:t>
      </w:r>
      <w:r w:rsidR="00F56D22">
        <w:rPr>
          <w:rFonts w:ascii="Times" w:hAnsi="Times"/>
        </w:rPr>
        <w:t>period poverty</w:t>
      </w:r>
      <w:r>
        <w:rPr>
          <w:rFonts w:ascii="Times" w:hAnsi="Times"/>
        </w:rPr>
        <w:t xml:space="preserve"> literature, a</w:t>
      </w:r>
      <w:r w:rsidR="002A5330">
        <w:rPr>
          <w:rFonts w:ascii="Times" w:hAnsi="Times"/>
        </w:rPr>
        <w:t xml:space="preserve"> ‘flipped’ </w:t>
      </w:r>
      <w:r>
        <w:rPr>
          <w:rFonts w:ascii="Times" w:hAnsi="Times"/>
        </w:rPr>
        <w:t>approach to the Lorenz (20</w:t>
      </w:r>
      <w:r w:rsidR="00EB20F9">
        <w:rPr>
          <w:rFonts w:ascii="Times" w:hAnsi="Times"/>
        </w:rPr>
        <w:t>1</w:t>
      </w:r>
      <w:r>
        <w:rPr>
          <w:rFonts w:ascii="Times" w:hAnsi="Times"/>
        </w:rPr>
        <w:t xml:space="preserve">0) workflow has been followed, where story composition is </w:t>
      </w:r>
      <w:r w:rsidR="00F56D22">
        <w:rPr>
          <w:rFonts w:ascii="Times" w:hAnsi="Times"/>
        </w:rPr>
        <w:t xml:space="preserve">first </w:t>
      </w:r>
      <w:r>
        <w:rPr>
          <w:rFonts w:ascii="Times" w:hAnsi="Times"/>
        </w:rPr>
        <w:t>used to support the foundation of data visualization initiatives.</w:t>
      </w:r>
    </w:p>
    <w:p w14:paraId="58C23D65" w14:textId="77777777" w:rsidR="000A21E5" w:rsidRPr="00BE05BF" w:rsidRDefault="000A21E5" w:rsidP="000A21E5">
      <w:pPr>
        <w:spacing w:line="360" w:lineRule="auto"/>
        <w:ind w:firstLine="720"/>
        <w:rPr>
          <w:rFonts w:ascii="Times" w:hAnsi="Times"/>
        </w:rPr>
      </w:pPr>
    </w:p>
    <w:p w14:paraId="6B936D96" w14:textId="59162B3A" w:rsidR="002A5330" w:rsidRPr="002A5330" w:rsidRDefault="002A5330" w:rsidP="002A5330">
      <w:pPr>
        <w:spacing w:line="360" w:lineRule="auto"/>
        <w:rPr>
          <w:rFonts w:ascii="Times" w:hAnsi="Times"/>
          <w:b/>
          <w:bCs/>
        </w:rPr>
      </w:pPr>
      <w:r w:rsidRPr="002A5330">
        <w:rPr>
          <w:rFonts w:ascii="Times" w:hAnsi="Times"/>
          <w:b/>
          <w:bCs/>
        </w:rPr>
        <w:t>Story Composition</w:t>
      </w:r>
    </w:p>
    <w:p w14:paraId="1F4C0190" w14:textId="01285050" w:rsidR="00AD7B81" w:rsidRPr="009C6731" w:rsidRDefault="002A5330" w:rsidP="002A5330">
      <w:pPr>
        <w:spacing w:line="360" w:lineRule="auto"/>
        <w:rPr>
          <w:rFonts w:ascii="Times" w:hAnsi="Times"/>
        </w:rPr>
      </w:pPr>
      <w:r w:rsidRPr="002A5330">
        <w:rPr>
          <w:rFonts w:ascii="Times" w:hAnsi="Times"/>
        </w:rPr>
        <w:tab/>
      </w:r>
      <w:r w:rsidR="00EA40D0">
        <w:rPr>
          <w:rFonts w:ascii="Times" w:hAnsi="Times"/>
        </w:rPr>
        <w:t>Much of the long-form story will incorporate the themes outlined throughout this proposal, including current literature and data that has previously been collected. One of the core goals of this proposal is to destigmatize menstrual health, and a large section will be dedicated to explaining the process of menstruation, as well as demystifying common misperception</w:t>
      </w:r>
      <w:r w:rsidR="00596C2E">
        <w:rPr>
          <w:rFonts w:ascii="Times" w:hAnsi="Times"/>
        </w:rPr>
        <w:t>s</w:t>
      </w:r>
      <w:r w:rsidR="00EA40D0">
        <w:rPr>
          <w:rFonts w:ascii="Times" w:hAnsi="Times"/>
        </w:rPr>
        <w:t xml:space="preserve"> and taboos associated with periods. Direct and indirect implications of period poverty will also be outlined in detail. In</w:t>
      </w:r>
      <w:r w:rsidRPr="002A5330">
        <w:rPr>
          <w:rFonts w:ascii="Times" w:hAnsi="Times"/>
        </w:rPr>
        <w:t xml:space="preserve"> the spirit of long-form storytelling, </w:t>
      </w:r>
      <w:r w:rsidR="00EA40D0">
        <w:rPr>
          <w:rFonts w:ascii="Times" w:hAnsi="Times"/>
        </w:rPr>
        <w:t xml:space="preserve">a goal of this section is to include </w:t>
      </w:r>
      <w:r w:rsidRPr="002A5330">
        <w:rPr>
          <w:rFonts w:ascii="Times" w:hAnsi="Times"/>
        </w:rPr>
        <w:t xml:space="preserve">personal anecdotes or </w:t>
      </w:r>
      <w:r w:rsidR="00EA40D0">
        <w:rPr>
          <w:rFonts w:ascii="Times" w:hAnsi="Times"/>
        </w:rPr>
        <w:t xml:space="preserve">anonymous accounts of how these implications have affected individuals who menstruate. </w:t>
      </w:r>
      <w:r w:rsidRPr="002A5330">
        <w:rPr>
          <w:rFonts w:ascii="Times" w:hAnsi="Times"/>
        </w:rPr>
        <w:t>Th</w:t>
      </w:r>
      <w:r w:rsidR="00EA40D0">
        <w:rPr>
          <w:rFonts w:ascii="Times" w:hAnsi="Times"/>
        </w:rPr>
        <w:t>ese anecdotes are considered an important compliment to the data, and are meant to engage the reader further</w:t>
      </w:r>
      <w:r w:rsidRPr="002A5330">
        <w:rPr>
          <w:rFonts w:ascii="Times" w:hAnsi="Times"/>
        </w:rPr>
        <w:t xml:space="preserve">. </w:t>
      </w:r>
      <w:r w:rsidR="002039DE">
        <w:rPr>
          <w:rFonts w:ascii="Times" w:hAnsi="Times"/>
        </w:rPr>
        <w:t xml:space="preserve">These anecdotes will be collected through an open-response </w:t>
      </w:r>
      <w:r w:rsidR="003B0F09">
        <w:rPr>
          <w:rFonts w:ascii="Times" w:hAnsi="Times"/>
        </w:rPr>
        <w:t>item</w:t>
      </w:r>
      <w:r w:rsidR="002039DE">
        <w:rPr>
          <w:rFonts w:ascii="Times" w:hAnsi="Times"/>
        </w:rPr>
        <w:t xml:space="preserve"> that will be included in the website questionnaire, which will be explained further below. </w:t>
      </w:r>
      <w:r w:rsidR="00EA40D0">
        <w:rPr>
          <w:rFonts w:ascii="Times" w:hAnsi="Times"/>
        </w:rPr>
        <w:t>M</w:t>
      </w:r>
      <w:r w:rsidRPr="002A5330">
        <w:rPr>
          <w:rFonts w:ascii="Times" w:hAnsi="Times"/>
        </w:rPr>
        <w:t>ixed media methods, such as a</w:t>
      </w:r>
      <w:r w:rsidR="00EA40D0">
        <w:rPr>
          <w:rFonts w:ascii="Times" w:hAnsi="Times"/>
        </w:rPr>
        <w:t xml:space="preserve"> short</w:t>
      </w:r>
      <w:r w:rsidRPr="002A5330">
        <w:rPr>
          <w:rFonts w:ascii="Times" w:hAnsi="Times"/>
        </w:rPr>
        <w:t xml:space="preserve"> video </w:t>
      </w:r>
      <w:r w:rsidR="00EA40D0">
        <w:rPr>
          <w:rFonts w:ascii="Times" w:hAnsi="Times"/>
        </w:rPr>
        <w:t xml:space="preserve">or </w:t>
      </w:r>
      <w:r w:rsidR="006836DB">
        <w:rPr>
          <w:rFonts w:ascii="Times" w:hAnsi="Times"/>
        </w:rPr>
        <w:t>infographic</w:t>
      </w:r>
      <w:r w:rsidR="00EA40D0">
        <w:rPr>
          <w:rFonts w:ascii="Times" w:hAnsi="Times"/>
        </w:rPr>
        <w:t xml:space="preserve"> will also be</w:t>
      </w:r>
      <w:r w:rsidRPr="002A5330">
        <w:rPr>
          <w:rFonts w:ascii="Times" w:hAnsi="Times"/>
        </w:rPr>
        <w:t xml:space="preserve"> included.</w:t>
      </w:r>
      <w:r>
        <w:rPr>
          <w:rFonts w:ascii="Times" w:hAnsi="Times"/>
        </w:rPr>
        <w:t xml:space="preserve"> </w:t>
      </w:r>
      <w:r w:rsidR="00EA40D0">
        <w:rPr>
          <w:rFonts w:ascii="Times" w:hAnsi="Times"/>
        </w:rPr>
        <w:t>The purpose of these</w:t>
      </w:r>
      <w:r>
        <w:rPr>
          <w:rFonts w:ascii="Times" w:hAnsi="Times"/>
        </w:rPr>
        <w:t xml:space="preserve"> media formats </w:t>
      </w:r>
      <w:r w:rsidR="00EA40D0">
        <w:rPr>
          <w:rFonts w:ascii="Times" w:hAnsi="Times"/>
        </w:rPr>
        <w:t>is to also increase accessibility and improve general engagement and understanding. The journal story will include a translation feature, where a user is able to change the language information is written in. Toggle bars will also be included in order for readers to increase visual elements including</w:t>
      </w:r>
      <w:r>
        <w:rPr>
          <w:rFonts w:ascii="Times" w:hAnsi="Times"/>
        </w:rPr>
        <w:t xml:space="preserve"> text size and interface brightness. A read-along-text function will also be supplied to individuals who require verbalized information.</w:t>
      </w:r>
    </w:p>
    <w:p w14:paraId="153332A2" w14:textId="77777777" w:rsidR="002A5330" w:rsidRDefault="002A5330" w:rsidP="002A5330">
      <w:pPr>
        <w:spacing w:line="360" w:lineRule="auto"/>
        <w:rPr>
          <w:rFonts w:ascii="Times" w:hAnsi="Times"/>
          <w:b/>
          <w:bCs/>
        </w:rPr>
      </w:pPr>
      <w:r w:rsidRPr="002A5330">
        <w:rPr>
          <w:rFonts w:ascii="Times" w:hAnsi="Times"/>
          <w:b/>
          <w:bCs/>
        </w:rPr>
        <w:lastRenderedPageBreak/>
        <w:t>Visualization of the Data</w:t>
      </w:r>
    </w:p>
    <w:p w14:paraId="106E9AC3" w14:textId="770795CA" w:rsidR="00EA40D0" w:rsidRDefault="00EA40D0" w:rsidP="002A5330">
      <w:pPr>
        <w:spacing w:line="360" w:lineRule="auto"/>
        <w:rPr>
          <w:rFonts w:ascii="Times" w:hAnsi="Times"/>
        </w:rPr>
      </w:pPr>
      <w:r>
        <w:rPr>
          <w:rFonts w:ascii="Times" w:hAnsi="Times"/>
        </w:rPr>
        <w:tab/>
        <w:t>Period poverty data largely falls into three categories: poverty statistics, beliefs and perspectives, and ‘implication’ data. To start, in keeping with the Kalmus (2020) Public Tableau, a map will be used to outline rates (or lack thereof) of period poverty across the globe. These rates will encompass how many individuals who menstruate are impacted by period poverty, and will be observed by the use</w:t>
      </w:r>
      <w:r w:rsidR="009C6731">
        <w:rPr>
          <w:rFonts w:ascii="Times" w:hAnsi="Times"/>
        </w:rPr>
        <w:t>r</w:t>
      </w:r>
      <w:r>
        <w:rPr>
          <w:rFonts w:ascii="Times" w:hAnsi="Times"/>
        </w:rPr>
        <w:t xml:space="preserve"> hovering over a country on a visual representation of a globe. This globe will spin with a user mouse (i.e., left to right), and clicking a target country will lead the visualization to zoom into the geographic area of interest. For example, if an individual were curious about period poverty rates in Ontario, they would move the globe to Canada, and press on the country outline. If data permits, future updates to this visualization can include specific geographical locations within countries to understand inter-country period poverty levels. The data itself will be viewed in a ‘pop up’ window that appears on the side of the map so as to not obstruct the visualization but also increase font size and viewer accessibility.</w:t>
      </w:r>
    </w:p>
    <w:p w14:paraId="12ECB9D4" w14:textId="4244233E" w:rsidR="00EA40D0" w:rsidRDefault="00EA40D0" w:rsidP="002A5330">
      <w:pPr>
        <w:spacing w:line="360" w:lineRule="auto"/>
        <w:rPr>
          <w:rFonts w:ascii="Times" w:hAnsi="Times"/>
        </w:rPr>
      </w:pPr>
      <w:r>
        <w:rPr>
          <w:rFonts w:ascii="Times" w:hAnsi="Times"/>
        </w:rPr>
        <w:tab/>
        <w:t xml:space="preserve">To effectively visualize data collected from various organizations and peer-review studies on beliefs and perspectives related to period poverty and menstruation, interactive bar graphs will be accessible via a hyperlink embedded within the journal story. This hyperlink will open to a separate window that will allow viewers to click on their country of interest. Important to note on these visualizations is where data has been collected and, if necessary, having separate bar graphs associated with the researchers or organization who collected the displayed results. Colour choice will be considered as well, where colours such as green and red will be avoided due to potential </w:t>
      </w:r>
      <w:r w:rsidR="009C6731">
        <w:rPr>
          <w:rFonts w:ascii="Times" w:hAnsi="Times"/>
        </w:rPr>
        <w:t xml:space="preserve">negative or positive </w:t>
      </w:r>
      <w:r>
        <w:rPr>
          <w:rFonts w:ascii="Times" w:hAnsi="Times"/>
        </w:rPr>
        <w:t>connotations associated with these colours, as well as increasing accessibility for colour blind individuals.</w:t>
      </w:r>
    </w:p>
    <w:p w14:paraId="50DDF025" w14:textId="02315AF4" w:rsidR="002A5330" w:rsidRPr="00610A93" w:rsidRDefault="00EA40D0" w:rsidP="00AD7B81">
      <w:pPr>
        <w:spacing w:line="360" w:lineRule="auto"/>
        <w:rPr>
          <w:rFonts w:ascii="Times" w:hAnsi="Times"/>
        </w:rPr>
      </w:pPr>
      <w:r>
        <w:rPr>
          <w:rFonts w:ascii="Times" w:hAnsi="Times"/>
        </w:rPr>
        <w:tab/>
        <w:t xml:space="preserve">Finally, to visualize the ‘implications’ of period poverty (e.g., physical health risks such as infection rates, social isolation rates, etc.) icons </w:t>
      </w:r>
      <w:r w:rsidR="00961909">
        <w:rPr>
          <w:rFonts w:ascii="Times" w:hAnsi="Times"/>
        </w:rPr>
        <w:t>associated with each sub-topic (e.g., a stethoscope for ‘physical health implications’) will</w:t>
      </w:r>
      <w:r>
        <w:rPr>
          <w:rFonts w:ascii="Times" w:hAnsi="Times"/>
        </w:rPr>
        <w:t xml:space="preserve"> </w:t>
      </w:r>
      <w:r w:rsidR="00961909">
        <w:rPr>
          <w:rFonts w:ascii="Times" w:hAnsi="Times"/>
        </w:rPr>
        <w:t xml:space="preserve">be located at the top of the subsection. When hovering a mouse over these icons, a pie chart or bar graph will appear below to outline any data collected on the sub-topic. Data will be amalgamated for the purposes of simplifying each visualization, and the use of a pie chart or bar graph will be determined based on the number of variables measured for each sub-topic. When appropriate, major testimonial quotes related to the sub-topic (e.g., an anecdote related to the effect of period poverty on the speaker’s mental wellbeing) will be included in bold font on the side of the visualization for added effect. </w:t>
      </w:r>
    </w:p>
    <w:p w14:paraId="41E4B978" w14:textId="3A6F09F6" w:rsidR="00AD7B81" w:rsidRPr="002A5330" w:rsidRDefault="00AD7B81" w:rsidP="00AD7B81">
      <w:pPr>
        <w:spacing w:line="360" w:lineRule="auto"/>
        <w:rPr>
          <w:rFonts w:ascii="Times" w:hAnsi="Times"/>
          <w:b/>
          <w:bCs/>
        </w:rPr>
      </w:pPr>
      <w:r w:rsidRPr="002A5330">
        <w:rPr>
          <w:rFonts w:ascii="Times" w:hAnsi="Times"/>
          <w:b/>
          <w:bCs/>
        </w:rPr>
        <w:lastRenderedPageBreak/>
        <w:t>Localizing, Retrieving and Integration of the Data</w:t>
      </w:r>
    </w:p>
    <w:p w14:paraId="0EDF6816" w14:textId="3857CF81" w:rsidR="00AD7B81" w:rsidRPr="00D65B55" w:rsidRDefault="00BE05BF" w:rsidP="00BE05BF">
      <w:pPr>
        <w:spacing w:line="360" w:lineRule="auto"/>
        <w:ind w:firstLine="720"/>
        <w:rPr>
          <w:rFonts w:ascii="Times" w:hAnsi="Times"/>
        </w:rPr>
      </w:pPr>
      <w:r>
        <w:rPr>
          <w:rFonts w:ascii="Times" w:hAnsi="Times"/>
        </w:rPr>
        <w:t>In an effort to contribute to the current and future understanding of period poverty, a</w:t>
      </w:r>
      <w:r w:rsidR="00816944" w:rsidRPr="00816944">
        <w:rPr>
          <w:rFonts w:ascii="Times" w:hAnsi="Times"/>
        </w:rPr>
        <w:t xml:space="preserve"> questionnaire survey will be included </w:t>
      </w:r>
      <w:r>
        <w:rPr>
          <w:rFonts w:ascii="Times" w:hAnsi="Times"/>
        </w:rPr>
        <w:t>as an additional feature at the end of the larger</w:t>
      </w:r>
      <w:r w:rsidR="00816944" w:rsidRPr="00816944">
        <w:rPr>
          <w:rFonts w:ascii="Times" w:hAnsi="Times"/>
        </w:rPr>
        <w:t xml:space="preserve"> long-form story</w:t>
      </w:r>
      <w:r>
        <w:rPr>
          <w:rFonts w:ascii="Times" w:hAnsi="Times"/>
        </w:rPr>
        <w:t xml:space="preserve">, </w:t>
      </w:r>
      <w:r w:rsidR="00816944" w:rsidRPr="00816944">
        <w:rPr>
          <w:rFonts w:ascii="Times" w:hAnsi="Times"/>
        </w:rPr>
        <w:t xml:space="preserve">and will be offered to </w:t>
      </w:r>
      <w:r>
        <w:rPr>
          <w:rFonts w:ascii="Times" w:hAnsi="Times"/>
        </w:rPr>
        <w:t>any user</w:t>
      </w:r>
      <w:r w:rsidR="00816944" w:rsidRPr="00816944">
        <w:rPr>
          <w:rFonts w:ascii="Times" w:hAnsi="Times"/>
        </w:rPr>
        <w:t xml:space="preserve"> who interact</w:t>
      </w:r>
      <w:r>
        <w:rPr>
          <w:rFonts w:ascii="Times" w:hAnsi="Times"/>
        </w:rPr>
        <w:t>s</w:t>
      </w:r>
      <w:r w:rsidR="00816944" w:rsidRPr="00816944">
        <w:rPr>
          <w:rFonts w:ascii="Times" w:hAnsi="Times"/>
        </w:rPr>
        <w:t xml:space="preserve"> with the site. Interested individuals will have to </w:t>
      </w:r>
      <w:r>
        <w:rPr>
          <w:rFonts w:ascii="Times" w:hAnsi="Times"/>
        </w:rPr>
        <w:t>fill out a screener</w:t>
      </w:r>
      <w:r w:rsidR="00816944" w:rsidRPr="00816944">
        <w:rPr>
          <w:rFonts w:ascii="Times" w:hAnsi="Times"/>
        </w:rPr>
        <w:t xml:space="preserve"> and </w:t>
      </w:r>
      <w:r>
        <w:rPr>
          <w:rFonts w:ascii="Times" w:hAnsi="Times"/>
        </w:rPr>
        <w:t>consent form</w:t>
      </w:r>
      <w:r w:rsidR="00816944" w:rsidRPr="00816944">
        <w:rPr>
          <w:rFonts w:ascii="Times" w:hAnsi="Times"/>
        </w:rPr>
        <w:t xml:space="preserve"> to participate in </w:t>
      </w:r>
      <w:r>
        <w:rPr>
          <w:rFonts w:ascii="Times" w:hAnsi="Times"/>
        </w:rPr>
        <w:t>data collection</w:t>
      </w:r>
      <w:r w:rsidR="00816944" w:rsidRPr="00816944">
        <w:rPr>
          <w:rFonts w:ascii="Times" w:hAnsi="Times"/>
        </w:rPr>
        <w:t xml:space="preserve">. </w:t>
      </w:r>
      <w:r w:rsidR="0093731D">
        <w:rPr>
          <w:rFonts w:ascii="Times" w:hAnsi="Times"/>
        </w:rPr>
        <w:t>The goal of this added questionnaire is to ultimately create a reservoir of data</w:t>
      </w:r>
      <w:r w:rsidR="00816944" w:rsidRPr="00816944">
        <w:rPr>
          <w:rFonts w:ascii="Times" w:hAnsi="Times"/>
        </w:rPr>
        <w:t xml:space="preserve"> </w:t>
      </w:r>
      <w:r w:rsidR="0093731D">
        <w:rPr>
          <w:rFonts w:ascii="Times" w:hAnsi="Times"/>
        </w:rPr>
        <w:t xml:space="preserve">speaking to global experiences with period poverty, beliefs surrounding menstruation and period hygiene, and perspectives on addressing period poverty in areas where individuals reside. </w:t>
      </w:r>
      <w:r w:rsidR="003B7705">
        <w:rPr>
          <w:rFonts w:ascii="Times" w:hAnsi="Times"/>
        </w:rPr>
        <w:t xml:space="preserve">This questionnaire will conclude with an open-ended </w:t>
      </w:r>
      <w:r w:rsidR="00610A93">
        <w:rPr>
          <w:rFonts w:ascii="Times" w:hAnsi="Times"/>
        </w:rPr>
        <w:t>item</w:t>
      </w:r>
      <w:r w:rsidR="003B7705">
        <w:rPr>
          <w:rFonts w:ascii="Times" w:hAnsi="Times"/>
        </w:rPr>
        <w:t xml:space="preserve">, where </w:t>
      </w:r>
      <w:r w:rsidR="00AA7613">
        <w:rPr>
          <w:rFonts w:ascii="Times" w:hAnsi="Times"/>
        </w:rPr>
        <w:t>participants</w:t>
      </w:r>
      <w:r w:rsidR="003B7705">
        <w:rPr>
          <w:rFonts w:ascii="Times" w:hAnsi="Times"/>
        </w:rPr>
        <w:t xml:space="preserve"> will have the option to write any personal </w:t>
      </w:r>
      <w:r w:rsidR="00610A93">
        <w:rPr>
          <w:rFonts w:ascii="Times" w:hAnsi="Times"/>
        </w:rPr>
        <w:t>anecdotes</w:t>
      </w:r>
      <w:r w:rsidR="003B7705">
        <w:rPr>
          <w:rFonts w:ascii="Times" w:hAnsi="Times"/>
        </w:rPr>
        <w:t xml:space="preserve"> about their experiences with any period poverty. Participants will be asked to maintain anonymity when writing these experiences, and additional efforts will be made to anonymize information if necessary. All other data remains anonymous and no identifying information </w:t>
      </w:r>
      <w:r w:rsidR="00610A93">
        <w:rPr>
          <w:rFonts w:ascii="Times" w:hAnsi="Times"/>
        </w:rPr>
        <w:t>will be</w:t>
      </w:r>
      <w:r w:rsidR="003B7705">
        <w:rPr>
          <w:rFonts w:ascii="Times" w:hAnsi="Times"/>
        </w:rPr>
        <w:t xml:space="preserve"> collected. </w:t>
      </w:r>
      <w:r w:rsidR="00816944" w:rsidRPr="00816944">
        <w:rPr>
          <w:rFonts w:ascii="Times" w:hAnsi="Times"/>
        </w:rPr>
        <w:t>This data will be housed on the website</w:t>
      </w:r>
      <w:r w:rsidR="0093731D">
        <w:rPr>
          <w:rFonts w:ascii="Times" w:hAnsi="Times"/>
        </w:rPr>
        <w:t xml:space="preserve"> server</w:t>
      </w:r>
      <w:r w:rsidR="00816944" w:rsidRPr="00816944">
        <w:rPr>
          <w:rFonts w:ascii="Times" w:hAnsi="Times"/>
        </w:rPr>
        <w:t xml:space="preserve"> and will be monitored and </w:t>
      </w:r>
      <w:r w:rsidR="0093731D">
        <w:rPr>
          <w:rFonts w:ascii="Times" w:hAnsi="Times"/>
        </w:rPr>
        <w:t>managed</w:t>
      </w:r>
      <w:r w:rsidR="00816944" w:rsidRPr="00816944">
        <w:rPr>
          <w:rFonts w:ascii="Times" w:hAnsi="Times"/>
        </w:rPr>
        <w:t xml:space="preserve"> by the research team. </w:t>
      </w:r>
      <w:r w:rsidR="0093731D">
        <w:rPr>
          <w:rFonts w:ascii="Times" w:hAnsi="Times"/>
        </w:rPr>
        <w:t xml:space="preserve">The data will be available upon request, </w:t>
      </w:r>
      <w:r w:rsidR="00816944" w:rsidRPr="00816944">
        <w:rPr>
          <w:rFonts w:ascii="Times" w:hAnsi="Times"/>
        </w:rPr>
        <w:t xml:space="preserve">where researchers, government and not-for-profit organizations can use </w:t>
      </w:r>
      <w:r w:rsidR="0093731D">
        <w:rPr>
          <w:rFonts w:ascii="Times" w:hAnsi="Times"/>
        </w:rPr>
        <w:t xml:space="preserve">results </w:t>
      </w:r>
      <w:r w:rsidR="00816944" w:rsidRPr="00816944">
        <w:rPr>
          <w:rFonts w:ascii="Times" w:hAnsi="Times"/>
        </w:rPr>
        <w:t xml:space="preserve">for </w:t>
      </w:r>
      <w:r w:rsidR="00610A93">
        <w:rPr>
          <w:rFonts w:ascii="Times" w:hAnsi="Times"/>
        </w:rPr>
        <w:t xml:space="preserve">dissemination and </w:t>
      </w:r>
      <w:r w:rsidR="002D1660">
        <w:rPr>
          <w:rFonts w:ascii="Times" w:hAnsi="Times"/>
        </w:rPr>
        <w:t>investigative</w:t>
      </w:r>
      <w:r w:rsidR="00816944" w:rsidRPr="00816944">
        <w:rPr>
          <w:rFonts w:ascii="Times" w:hAnsi="Times"/>
        </w:rPr>
        <w:t xml:space="preserve"> purposes.</w:t>
      </w:r>
      <w:r w:rsidR="00816944">
        <w:rPr>
          <w:rFonts w:ascii="Times" w:hAnsi="Times"/>
        </w:rPr>
        <w:t xml:space="preserve"> </w:t>
      </w:r>
    </w:p>
    <w:p w14:paraId="48892FED" w14:textId="0A711112" w:rsidR="00BD1F2D" w:rsidRPr="00727F75" w:rsidRDefault="00AD7B81" w:rsidP="00483A32">
      <w:pPr>
        <w:spacing w:line="360" w:lineRule="auto"/>
        <w:ind w:firstLine="720"/>
        <w:rPr>
          <w:rFonts w:ascii="Times" w:hAnsi="Times"/>
        </w:rPr>
      </w:pPr>
      <w:r w:rsidRPr="00816944">
        <w:rPr>
          <w:rFonts w:ascii="Times" w:hAnsi="Times"/>
        </w:rPr>
        <w:t xml:space="preserve">To conclude, the purpose of this interactive, virtual data journal story is to </w:t>
      </w:r>
      <w:r w:rsidR="0093731D">
        <w:rPr>
          <w:rFonts w:ascii="Times" w:hAnsi="Times"/>
        </w:rPr>
        <w:t xml:space="preserve">ultimately </w:t>
      </w:r>
      <w:r w:rsidRPr="00816944">
        <w:rPr>
          <w:rFonts w:ascii="Times" w:hAnsi="Times"/>
        </w:rPr>
        <w:t xml:space="preserve">increase </w:t>
      </w:r>
      <w:r w:rsidR="0093731D">
        <w:rPr>
          <w:rFonts w:ascii="Times" w:hAnsi="Times"/>
        </w:rPr>
        <w:t xml:space="preserve">conversations surrounding menstrual health and period poverty. Through the use of data journalism, it is our hope </w:t>
      </w:r>
      <w:r w:rsidR="00B45C61">
        <w:rPr>
          <w:rFonts w:ascii="Times" w:hAnsi="Times"/>
        </w:rPr>
        <w:t>that</w:t>
      </w:r>
      <w:r w:rsidR="0093731D">
        <w:rPr>
          <w:rFonts w:ascii="Times" w:hAnsi="Times"/>
        </w:rPr>
        <w:t xml:space="preserve"> education stimulates important conversations </w:t>
      </w:r>
      <w:r w:rsidR="00B45C61">
        <w:rPr>
          <w:rFonts w:ascii="Times" w:hAnsi="Times"/>
        </w:rPr>
        <w:t>to both</w:t>
      </w:r>
      <w:r w:rsidR="0093731D">
        <w:rPr>
          <w:rFonts w:ascii="Times" w:hAnsi="Times"/>
        </w:rPr>
        <w:t xml:space="preserve"> inform </w:t>
      </w:r>
      <w:r w:rsidR="00B45C61">
        <w:rPr>
          <w:rFonts w:ascii="Times" w:hAnsi="Times"/>
        </w:rPr>
        <w:t>perceptions</w:t>
      </w:r>
      <w:r w:rsidR="0093731D">
        <w:rPr>
          <w:rFonts w:ascii="Times" w:hAnsi="Times"/>
        </w:rPr>
        <w:t xml:space="preserve"> of menstrual health </w:t>
      </w:r>
      <w:r w:rsidR="00B45C61">
        <w:rPr>
          <w:rFonts w:ascii="Times" w:hAnsi="Times"/>
        </w:rPr>
        <w:t>as well as</w:t>
      </w:r>
      <w:r w:rsidR="0093731D">
        <w:rPr>
          <w:rFonts w:ascii="Times" w:hAnsi="Times"/>
        </w:rPr>
        <w:t xml:space="preserve"> current</w:t>
      </w:r>
      <w:r w:rsidRPr="00816944">
        <w:rPr>
          <w:rFonts w:ascii="Times" w:hAnsi="Times"/>
        </w:rPr>
        <w:t xml:space="preserve"> legislation</w:t>
      </w:r>
      <w:r w:rsidR="0093731D">
        <w:rPr>
          <w:rFonts w:ascii="Times" w:hAnsi="Times"/>
        </w:rPr>
        <w:t xml:space="preserve"> and policies </w:t>
      </w:r>
      <w:r w:rsidR="00B45C61">
        <w:rPr>
          <w:rFonts w:ascii="Times" w:hAnsi="Times"/>
        </w:rPr>
        <w:t xml:space="preserve">actively working to </w:t>
      </w:r>
      <w:r w:rsidR="0093731D">
        <w:rPr>
          <w:rFonts w:ascii="Times" w:hAnsi="Times"/>
        </w:rPr>
        <w:t xml:space="preserve">intervene </w:t>
      </w:r>
      <w:r w:rsidR="00B45C61">
        <w:rPr>
          <w:rFonts w:ascii="Times" w:hAnsi="Times"/>
        </w:rPr>
        <w:t>against</w:t>
      </w:r>
      <w:r w:rsidR="0093731D">
        <w:rPr>
          <w:rFonts w:ascii="Times" w:hAnsi="Times"/>
        </w:rPr>
        <w:t xml:space="preserve"> period poverty.</w:t>
      </w:r>
      <w:r w:rsidRPr="00816944">
        <w:rPr>
          <w:rFonts w:ascii="Times" w:hAnsi="Times"/>
        </w:rPr>
        <w:t xml:space="preserve"> In an era where social media and technology are the major contributors to informing our understanding, this project aims to take advantage of these platforms and expose what has long been considered a taboo. </w:t>
      </w:r>
      <w:r w:rsidR="000C7E92">
        <w:rPr>
          <w:rFonts w:ascii="Times" w:hAnsi="Times"/>
        </w:rPr>
        <w:t xml:space="preserve">After all, </w:t>
      </w:r>
      <w:r w:rsidR="00F0539F">
        <w:rPr>
          <w:rFonts w:ascii="Times" w:hAnsi="Times"/>
        </w:rPr>
        <w:t>everybody bleeds</w:t>
      </w:r>
      <w:r w:rsidR="002A0309">
        <w:rPr>
          <w:rFonts w:ascii="Times" w:hAnsi="Times"/>
        </w:rPr>
        <w:t>.</w:t>
      </w:r>
    </w:p>
    <w:p w14:paraId="061292F6" w14:textId="77777777" w:rsidR="00AA7613" w:rsidRDefault="00AA7613" w:rsidP="008F314B">
      <w:pPr>
        <w:spacing w:line="360" w:lineRule="auto"/>
        <w:jc w:val="center"/>
        <w:rPr>
          <w:rFonts w:ascii="Times" w:hAnsi="Times"/>
        </w:rPr>
      </w:pPr>
    </w:p>
    <w:p w14:paraId="3F82C6ED" w14:textId="77777777" w:rsidR="00AA7613" w:rsidRDefault="00AA7613" w:rsidP="008F314B">
      <w:pPr>
        <w:spacing w:line="360" w:lineRule="auto"/>
        <w:jc w:val="center"/>
        <w:rPr>
          <w:rFonts w:ascii="Times" w:hAnsi="Times"/>
        </w:rPr>
      </w:pPr>
    </w:p>
    <w:p w14:paraId="4D356A51" w14:textId="77777777" w:rsidR="00AA7613" w:rsidRDefault="00AA7613" w:rsidP="008F314B">
      <w:pPr>
        <w:spacing w:line="360" w:lineRule="auto"/>
        <w:jc w:val="center"/>
        <w:rPr>
          <w:rFonts w:ascii="Times" w:hAnsi="Times"/>
        </w:rPr>
      </w:pPr>
    </w:p>
    <w:p w14:paraId="4D16436F" w14:textId="77777777" w:rsidR="00AA7613" w:rsidRDefault="00AA7613" w:rsidP="008F314B">
      <w:pPr>
        <w:spacing w:line="360" w:lineRule="auto"/>
        <w:jc w:val="center"/>
        <w:rPr>
          <w:rFonts w:ascii="Times" w:hAnsi="Times"/>
        </w:rPr>
      </w:pPr>
    </w:p>
    <w:p w14:paraId="4A4D8AF8" w14:textId="77777777" w:rsidR="00AA7613" w:rsidRDefault="00AA7613" w:rsidP="008F314B">
      <w:pPr>
        <w:spacing w:line="360" w:lineRule="auto"/>
        <w:jc w:val="center"/>
        <w:rPr>
          <w:rFonts w:ascii="Times" w:hAnsi="Times"/>
        </w:rPr>
      </w:pPr>
    </w:p>
    <w:p w14:paraId="7609A28D" w14:textId="77777777" w:rsidR="00AA7613" w:rsidRDefault="00AA7613" w:rsidP="008F314B">
      <w:pPr>
        <w:spacing w:line="360" w:lineRule="auto"/>
        <w:jc w:val="center"/>
        <w:rPr>
          <w:rFonts w:ascii="Times" w:hAnsi="Times"/>
        </w:rPr>
      </w:pPr>
    </w:p>
    <w:p w14:paraId="2F17BBD5" w14:textId="77777777" w:rsidR="00AA7613" w:rsidRDefault="00AA7613" w:rsidP="008F314B">
      <w:pPr>
        <w:spacing w:line="360" w:lineRule="auto"/>
        <w:jc w:val="center"/>
        <w:rPr>
          <w:rFonts w:ascii="Times" w:hAnsi="Times"/>
        </w:rPr>
      </w:pPr>
    </w:p>
    <w:p w14:paraId="2105D403" w14:textId="77777777" w:rsidR="00AA7613" w:rsidRDefault="00AA7613" w:rsidP="008F314B">
      <w:pPr>
        <w:spacing w:line="360" w:lineRule="auto"/>
        <w:jc w:val="center"/>
        <w:rPr>
          <w:rFonts w:ascii="Times" w:hAnsi="Times"/>
        </w:rPr>
      </w:pPr>
    </w:p>
    <w:p w14:paraId="734B1102" w14:textId="77777777" w:rsidR="00AA7613" w:rsidRDefault="00AA7613" w:rsidP="00CD5005">
      <w:pPr>
        <w:spacing w:line="360" w:lineRule="auto"/>
        <w:rPr>
          <w:rFonts w:ascii="Times" w:hAnsi="Times"/>
        </w:rPr>
      </w:pPr>
    </w:p>
    <w:p w14:paraId="076223BC" w14:textId="4FFE8BEE" w:rsidR="00727F75" w:rsidRDefault="008F314B" w:rsidP="008F314B">
      <w:pPr>
        <w:spacing w:line="360" w:lineRule="auto"/>
        <w:jc w:val="center"/>
        <w:rPr>
          <w:rFonts w:ascii="Times" w:hAnsi="Times"/>
        </w:rPr>
      </w:pPr>
      <w:r>
        <w:rPr>
          <w:rFonts w:ascii="Times" w:hAnsi="Times"/>
        </w:rPr>
        <w:lastRenderedPageBreak/>
        <w:t>References</w:t>
      </w:r>
    </w:p>
    <w:p w14:paraId="368607E6" w14:textId="77777777" w:rsidR="00E92D6B" w:rsidRDefault="00E92D6B" w:rsidP="008F314B">
      <w:pPr>
        <w:spacing w:line="360" w:lineRule="auto"/>
        <w:jc w:val="center"/>
        <w:rPr>
          <w:rFonts w:ascii="Times" w:hAnsi="Times"/>
        </w:rPr>
      </w:pPr>
    </w:p>
    <w:p w14:paraId="044B4302" w14:textId="1D13DF17" w:rsidR="00E92D6B" w:rsidRPr="00E92D6B" w:rsidRDefault="00E92D6B" w:rsidP="00E92D6B">
      <w:pPr>
        <w:spacing w:line="360" w:lineRule="auto"/>
        <w:rPr>
          <w:rFonts w:ascii="Times" w:hAnsi="Times"/>
        </w:rPr>
      </w:pPr>
      <w:r w:rsidRPr="00E92D6B">
        <w:rPr>
          <w:rFonts w:ascii="Times" w:hAnsi="Times" w:cs="Arial"/>
          <w:color w:val="222222"/>
          <w:shd w:val="clear" w:color="auto" w:fill="FFFFFF"/>
        </w:rPr>
        <w:t>Babbar, K., Martin, J., Ruiz, J., Parray, A. A., &amp; Sommer, M. (2022). Menstrual health is a</w:t>
      </w:r>
      <w:r>
        <w:rPr>
          <w:rFonts w:ascii="Times" w:hAnsi="Times" w:cs="Arial"/>
          <w:color w:val="222222"/>
          <w:shd w:val="clear" w:color="auto" w:fill="FFFFFF"/>
        </w:rPr>
        <w:tab/>
      </w:r>
      <w:r w:rsidRPr="00E92D6B">
        <w:rPr>
          <w:rFonts w:ascii="Times" w:hAnsi="Times" w:cs="Arial"/>
          <w:color w:val="222222"/>
          <w:shd w:val="clear" w:color="auto" w:fill="FFFFFF"/>
        </w:rPr>
        <w:t>public health and human rights issue. </w:t>
      </w:r>
      <w:r w:rsidRPr="00E92D6B">
        <w:rPr>
          <w:rFonts w:ascii="Times" w:hAnsi="Times" w:cs="Arial"/>
          <w:i/>
          <w:iCs/>
          <w:color w:val="222222"/>
          <w:shd w:val="clear" w:color="auto" w:fill="FFFFFF"/>
        </w:rPr>
        <w:t>The Lancet Public Health</w:t>
      </w:r>
      <w:r w:rsidRPr="00E92D6B">
        <w:rPr>
          <w:rFonts w:ascii="Times" w:hAnsi="Times" w:cs="Arial"/>
          <w:color w:val="222222"/>
          <w:shd w:val="clear" w:color="auto" w:fill="FFFFFF"/>
        </w:rPr>
        <w:t>, </w:t>
      </w:r>
      <w:r w:rsidRPr="00E92D6B">
        <w:rPr>
          <w:rFonts w:ascii="Times" w:hAnsi="Times" w:cs="Arial"/>
          <w:i/>
          <w:iCs/>
          <w:color w:val="222222"/>
          <w:shd w:val="clear" w:color="auto" w:fill="FFFFFF"/>
        </w:rPr>
        <w:t>7</w:t>
      </w:r>
      <w:r w:rsidRPr="00E92D6B">
        <w:rPr>
          <w:rFonts w:ascii="Times" w:hAnsi="Times" w:cs="Arial"/>
          <w:color w:val="222222"/>
          <w:shd w:val="clear" w:color="auto" w:fill="FFFFFF"/>
        </w:rPr>
        <w:t>(1), e10-e11.</w:t>
      </w:r>
    </w:p>
    <w:p w14:paraId="7F2CBF88" w14:textId="77777777" w:rsidR="008F314B" w:rsidRDefault="008F314B" w:rsidP="008F314B">
      <w:pPr>
        <w:spacing w:line="360" w:lineRule="auto"/>
        <w:rPr>
          <w:rFonts w:ascii="Times" w:hAnsi="Times"/>
        </w:rPr>
      </w:pPr>
    </w:p>
    <w:p w14:paraId="5078D347" w14:textId="03B83AFC" w:rsidR="008F314B" w:rsidRPr="008F314B" w:rsidRDefault="008F314B" w:rsidP="008F314B">
      <w:pPr>
        <w:spacing w:line="360" w:lineRule="auto"/>
        <w:rPr>
          <w:rFonts w:ascii="Times" w:hAnsi="Times" w:cs="Arial"/>
          <w:color w:val="222222"/>
          <w:shd w:val="clear" w:color="auto" w:fill="FFFFFF"/>
        </w:rPr>
      </w:pPr>
      <w:r w:rsidRPr="008F314B">
        <w:rPr>
          <w:rFonts w:ascii="Times" w:hAnsi="Times" w:cs="Arial"/>
          <w:color w:val="222222"/>
          <w:shd w:val="clear" w:color="auto" w:fill="FFFFFF"/>
        </w:rPr>
        <w:t>Barrington, D. J., Robinson, H. J., Wilson, E., &amp; Hennegan, J. (2021). Experiences of</w:t>
      </w:r>
      <w:r>
        <w:rPr>
          <w:rFonts w:ascii="Times" w:hAnsi="Times" w:cs="Arial"/>
          <w:color w:val="222222"/>
          <w:shd w:val="clear" w:color="auto" w:fill="FFFFFF"/>
        </w:rPr>
        <w:tab/>
      </w:r>
      <w:r w:rsidRPr="008F314B">
        <w:rPr>
          <w:rFonts w:ascii="Times" w:hAnsi="Times" w:cs="Arial"/>
          <w:color w:val="222222"/>
          <w:shd w:val="clear" w:color="auto" w:fill="FFFFFF"/>
        </w:rPr>
        <w:t>menstruation in high income countries: a systematic review, qualitative evidence</w:t>
      </w:r>
      <w:r>
        <w:rPr>
          <w:rFonts w:ascii="Times" w:hAnsi="Times" w:cs="Arial"/>
          <w:color w:val="222222"/>
          <w:shd w:val="clear" w:color="auto" w:fill="FFFFFF"/>
        </w:rPr>
        <w:tab/>
      </w:r>
      <w:r w:rsidRPr="008F314B">
        <w:rPr>
          <w:rFonts w:ascii="Times" w:hAnsi="Times" w:cs="Arial"/>
          <w:color w:val="222222"/>
          <w:shd w:val="clear" w:color="auto" w:fill="FFFFFF"/>
        </w:rPr>
        <w:t>synthesis and comparison to low-and middle-income countries. </w:t>
      </w:r>
      <w:r w:rsidRPr="008F314B">
        <w:rPr>
          <w:rFonts w:ascii="Times" w:hAnsi="Times" w:cs="Arial"/>
          <w:i/>
          <w:iCs/>
          <w:color w:val="222222"/>
          <w:shd w:val="clear" w:color="auto" w:fill="FFFFFF"/>
        </w:rPr>
        <w:t>PloS one</w:t>
      </w:r>
      <w:r w:rsidRPr="008F314B">
        <w:rPr>
          <w:rFonts w:ascii="Times" w:hAnsi="Times" w:cs="Arial"/>
          <w:color w:val="222222"/>
          <w:shd w:val="clear" w:color="auto" w:fill="FFFFFF"/>
        </w:rPr>
        <w:t>, </w:t>
      </w:r>
      <w:r w:rsidRPr="008F314B">
        <w:rPr>
          <w:rFonts w:ascii="Times" w:hAnsi="Times" w:cs="Arial"/>
          <w:i/>
          <w:iCs/>
          <w:color w:val="222222"/>
          <w:shd w:val="clear" w:color="auto" w:fill="FFFFFF"/>
        </w:rPr>
        <w:t>16</w:t>
      </w:r>
      <w:r w:rsidRPr="008F314B">
        <w:rPr>
          <w:rFonts w:ascii="Times" w:hAnsi="Times" w:cs="Arial"/>
          <w:color w:val="222222"/>
          <w:shd w:val="clear" w:color="auto" w:fill="FFFFFF"/>
        </w:rPr>
        <w:t>(7),</w:t>
      </w:r>
      <w:r>
        <w:rPr>
          <w:rFonts w:ascii="Times" w:hAnsi="Times" w:cs="Arial"/>
          <w:color w:val="222222"/>
          <w:shd w:val="clear" w:color="auto" w:fill="FFFFFF"/>
        </w:rPr>
        <w:tab/>
      </w:r>
      <w:r w:rsidRPr="008F314B">
        <w:rPr>
          <w:rFonts w:ascii="Times" w:hAnsi="Times" w:cs="Arial"/>
          <w:color w:val="222222"/>
          <w:shd w:val="clear" w:color="auto" w:fill="FFFFFF"/>
        </w:rPr>
        <w:t>e0255001.</w:t>
      </w:r>
    </w:p>
    <w:p w14:paraId="32B54AEB" w14:textId="77777777" w:rsidR="008F314B" w:rsidRPr="008F314B" w:rsidRDefault="008F314B" w:rsidP="008F314B">
      <w:pPr>
        <w:spacing w:line="360" w:lineRule="auto"/>
        <w:rPr>
          <w:rFonts w:ascii="Times" w:hAnsi="Times" w:cs="Arial"/>
          <w:color w:val="222222"/>
          <w:shd w:val="clear" w:color="auto" w:fill="FFFFFF"/>
        </w:rPr>
      </w:pPr>
    </w:p>
    <w:p w14:paraId="7AEABD38" w14:textId="3A662278" w:rsidR="008F314B" w:rsidRDefault="008F314B" w:rsidP="008F314B">
      <w:pPr>
        <w:spacing w:line="360" w:lineRule="auto"/>
        <w:rPr>
          <w:rFonts w:ascii="Times" w:hAnsi="Times" w:cs="Arial"/>
          <w:color w:val="222222"/>
          <w:shd w:val="clear" w:color="auto" w:fill="FFFFFF"/>
        </w:rPr>
      </w:pPr>
      <w:r w:rsidRPr="008F314B">
        <w:rPr>
          <w:rFonts w:ascii="Times" w:hAnsi="Times" w:cs="Arial"/>
          <w:color w:val="222222"/>
          <w:shd w:val="clear" w:color="auto" w:fill="FFFFFF"/>
        </w:rPr>
        <w:t>Berger, S., Kunerl, A., Wasmuth, S., Tierno, P., Wagner, K., &amp; Brügger, J. (2019). Menstrual</w:t>
      </w:r>
      <w:r>
        <w:rPr>
          <w:rFonts w:ascii="Times" w:hAnsi="Times" w:cs="Arial"/>
          <w:color w:val="222222"/>
          <w:shd w:val="clear" w:color="auto" w:fill="FFFFFF"/>
        </w:rPr>
        <w:tab/>
      </w:r>
      <w:r w:rsidRPr="008F314B">
        <w:rPr>
          <w:rFonts w:ascii="Times" w:hAnsi="Times" w:cs="Arial"/>
          <w:color w:val="222222"/>
          <w:shd w:val="clear" w:color="auto" w:fill="FFFFFF"/>
        </w:rPr>
        <w:t xml:space="preserve">toxic shock syndrome: </w:t>
      </w:r>
      <w:r w:rsidR="00402F16">
        <w:rPr>
          <w:rFonts w:ascii="Times" w:hAnsi="Times" w:cs="Arial"/>
          <w:color w:val="222222"/>
          <w:shd w:val="clear" w:color="auto" w:fill="FFFFFF"/>
        </w:rPr>
        <w:t>C</w:t>
      </w:r>
      <w:r w:rsidRPr="008F314B">
        <w:rPr>
          <w:rFonts w:ascii="Times" w:hAnsi="Times" w:cs="Arial"/>
          <w:color w:val="222222"/>
          <w:shd w:val="clear" w:color="auto" w:fill="FFFFFF"/>
        </w:rPr>
        <w:t>ase report and systematic review of the literature. </w:t>
      </w:r>
      <w:r w:rsidRPr="008F314B">
        <w:rPr>
          <w:rFonts w:ascii="Times" w:hAnsi="Times" w:cs="Arial"/>
          <w:i/>
          <w:iCs/>
          <w:color w:val="222222"/>
          <w:shd w:val="clear" w:color="auto" w:fill="FFFFFF"/>
        </w:rPr>
        <w:t>The Lancet</w:t>
      </w:r>
      <w:r>
        <w:rPr>
          <w:rFonts w:ascii="Times" w:hAnsi="Times" w:cs="Arial"/>
          <w:i/>
          <w:iCs/>
          <w:color w:val="222222"/>
          <w:shd w:val="clear" w:color="auto" w:fill="FFFFFF"/>
        </w:rPr>
        <w:tab/>
      </w:r>
      <w:r w:rsidRPr="008F314B">
        <w:rPr>
          <w:rFonts w:ascii="Times" w:hAnsi="Times" w:cs="Arial"/>
          <w:i/>
          <w:iCs/>
          <w:color w:val="222222"/>
          <w:shd w:val="clear" w:color="auto" w:fill="FFFFFF"/>
        </w:rPr>
        <w:t>Infectious Diseases</w:t>
      </w:r>
      <w:r w:rsidRPr="008F314B">
        <w:rPr>
          <w:rFonts w:ascii="Times" w:hAnsi="Times" w:cs="Arial"/>
          <w:color w:val="222222"/>
          <w:shd w:val="clear" w:color="auto" w:fill="FFFFFF"/>
        </w:rPr>
        <w:t>, </w:t>
      </w:r>
      <w:r w:rsidRPr="008F314B">
        <w:rPr>
          <w:rFonts w:ascii="Times" w:hAnsi="Times" w:cs="Arial"/>
          <w:i/>
          <w:iCs/>
          <w:color w:val="222222"/>
          <w:shd w:val="clear" w:color="auto" w:fill="FFFFFF"/>
        </w:rPr>
        <w:t>19</w:t>
      </w:r>
      <w:r w:rsidRPr="008F314B">
        <w:rPr>
          <w:rFonts w:ascii="Times" w:hAnsi="Times" w:cs="Arial"/>
          <w:color w:val="222222"/>
          <w:shd w:val="clear" w:color="auto" w:fill="FFFFFF"/>
        </w:rPr>
        <w:t>(9), e313-e321.</w:t>
      </w:r>
    </w:p>
    <w:p w14:paraId="3F5ADC0E" w14:textId="77777777" w:rsidR="008F314B" w:rsidRDefault="008F314B" w:rsidP="008F314B">
      <w:pPr>
        <w:spacing w:line="360" w:lineRule="auto"/>
        <w:rPr>
          <w:rFonts w:ascii="Times" w:hAnsi="Times" w:cs="Arial"/>
          <w:color w:val="222222"/>
          <w:shd w:val="clear" w:color="auto" w:fill="FFFFFF"/>
        </w:rPr>
      </w:pPr>
    </w:p>
    <w:p w14:paraId="1F4CD043" w14:textId="40904B0C" w:rsidR="008F314B" w:rsidRPr="008F314B" w:rsidRDefault="008F314B" w:rsidP="008F314B">
      <w:pPr>
        <w:spacing w:line="360" w:lineRule="auto"/>
        <w:rPr>
          <w:rFonts w:ascii="Times" w:hAnsi="Times"/>
        </w:rPr>
      </w:pPr>
      <w:r w:rsidRPr="008F314B">
        <w:rPr>
          <w:rFonts w:ascii="Times" w:hAnsi="Times" w:cs="Arial"/>
          <w:color w:val="222222"/>
          <w:shd w:val="clear" w:color="auto" w:fill="FFFFFF"/>
        </w:rPr>
        <w:t>Cardoso, L. F., Scolese, A. M., Hamidaddin, A., &amp; Gupta, J. (2021). Period poverty and mental</w:t>
      </w:r>
      <w:r>
        <w:rPr>
          <w:rFonts w:ascii="Times" w:hAnsi="Times" w:cs="Arial"/>
          <w:color w:val="222222"/>
          <w:shd w:val="clear" w:color="auto" w:fill="FFFFFF"/>
        </w:rPr>
        <w:tab/>
      </w:r>
      <w:r w:rsidRPr="008F314B">
        <w:rPr>
          <w:rFonts w:ascii="Times" w:hAnsi="Times" w:cs="Arial"/>
          <w:color w:val="222222"/>
          <w:shd w:val="clear" w:color="auto" w:fill="FFFFFF"/>
        </w:rPr>
        <w:t>health implications among college-aged women in the United States. </w:t>
      </w:r>
      <w:r w:rsidRPr="008F314B">
        <w:rPr>
          <w:rFonts w:ascii="Times" w:hAnsi="Times" w:cs="Arial"/>
          <w:i/>
          <w:iCs/>
          <w:color w:val="222222"/>
          <w:shd w:val="clear" w:color="auto" w:fill="FFFFFF"/>
        </w:rPr>
        <w:t>BMC women's</w:t>
      </w:r>
      <w:r>
        <w:rPr>
          <w:rFonts w:ascii="Times" w:hAnsi="Times" w:cs="Arial"/>
          <w:i/>
          <w:iCs/>
          <w:color w:val="222222"/>
          <w:shd w:val="clear" w:color="auto" w:fill="FFFFFF"/>
        </w:rPr>
        <w:tab/>
      </w:r>
      <w:r w:rsidRPr="008F314B">
        <w:rPr>
          <w:rFonts w:ascii="Times" w:hAnsi="Times" w:cs="Arial"/>
          <w:i/>
          <w:iCs/>
          <w:color w:val="222222"/>
          <w:shd w:val="clear" w:color="auto" w:fill="FFFFFF"/>
        </w:rPr>
        <w:t>health</w:t>
      </w:r>
      <w:r w:rsidRPr="008F314B">
        <w:rPr>
          <w:rFonts w:ascii="Times" w:hAnsi="Times" w:cs="Arial"/>
          <w:color w:val="222222"/>
          <w:shd w:val="clear" w:color="auto" w:fill="FFFFFF"/>
        </w:rPr>
        <w:t>, </w:t>
      </w:r>
      <w:r w:rsidRPr="008F314B">
        <w:rPr>
          <w:rFonts w:ascii="Times" w:hAnsi="Times" w:cs="Arial"/>
          <w:i/>
          <w:iCs/>
          <w:color w:val="222222"/>
          <w:shd w:val="clear" w:color="auto" w:fill="FFFFFF"/>
        </w:rPr>
        <w:t>21</w:t>
      </w:r>
      <w:r w:rsidRPr="008F314B">
        <w:rPr>
          <w:rFonts w:ascii="Times" w:hAnsi="Times" w:cs="Arial"/>
          <w:color w:val="222222"/>
          <w:shd w:val="clear" w:color="auto" w:fill="FFFFFF"/>
        </w:rPr>
        <w:t>, 1-7.</w:t>
      </w:r>
    </w:p>
    <w:p w14:paraId="738F11E8" w14:textId="77777777" w:rsidR="008F314B" w:rsidRPr="008F314B" w:rsidRDefault="008F314B" w:rsidP="008F314B">
      <w:pPr>
        <w:spacing w:line="360" w:lineRule="auto"/>
        <w:rPr>
          <w:rFonts w:ascii="Times" w:hAnsi="Times"/>
        </w:rPr>
      </w:pPr>
    </w:p>
    <w:p w14:paraId="7FCED6E1" w14:textId="0D99FA19" w:rsidR="008F314B" w:rsidRPr="00A106EE" w:rsidRDefault="008F314B" w:rsidP="00A106EE">
      <w:pPr>
        <w:spacing w:line="360" w:lineRule="auto"/>
        <w:rPr>
          <w:rFonts w:ascii="Times" w:hAnsi="Times" w:cs="Arial"/>
          <w:color w:val="222222"/>
          <w:shd w:val="clear" w:color="auto" w:fill="FFFFFF"/>
        </w:rPr>
      </w:pPr>
      <w:r w:rsidRPr="00A106EE">
        <w:rPr>
          <w:rFonts w:ascii="Times" w:hAnsi="Times" w:cs="Arial"/>
          <w:color w:val="222222"/>
          <w:shd w:val="clear" w:color="auto" w:fill="FFFFFF"/>
        </w:rPr>
        <w:t>Das, P., Baker, K. K., Dutta, A., Swain, T., Sahoo, S., Das, B. S., ... &amp; Torondel, B. (2015).</w:t>
      </w:r>
      <w:r w:rsidRPr="00A106EE">
        <w:rPr>
          <w:rFonts w:ascii="Times" w:hAnsi="Times" w:cs="Arial"/>
          <w:color w:val="222222"/>
          <w:shd w:val="clear" w:color="auto" w:fill="FFFFFF"/>
        </w:rPr>
        <w:tab/>
        <w:t>Menstrual hygiene practices, WASH access and the risk of urogenital infection in women</w:t>
      </w:r>
      <w:r w:rsidRPr="00A106EE">
        <w:rPr>
          <w:rFonts w:ascii="Times" w:hAnsi="Times" w:cs="Arial"/>
          <w:color w:val="222222"/>
          <w:shd w:val="clear" w:color="auto" w:fill="FFFFFF"/>
        </w:rPr>
        <w:tab/>
        <w:t>from Odisha, India. </w:t>
      </w:r>
      <w:r w:rsidRPr="00A106EE">
        <w:rPr>
          <w:rFonts w:ascii="Times" w:hAnsi="Times" w:cs="Arial"/>
          <w:i/>
          <w:iCs/>
          <w:color w:val="222222"/>
          <w:shd w:val="clear" w:color="auto" w:fill="FFFFFF"/>
        </w:rPr>
        <w:t>PloS one</w:t>
      </w:r>
      <w:r w:rsidRPr="00A106EE">
        <w:rPr>
          <w:rFonts w:ascii="Times" w:hAnsi="Times" w:cs="Arial"/>
          <w:color w:val="222222"/>
          <w:shd w:val="clear" w:color="auto" w:fill="FFFFFF"/>
        </w:rPr>
        <w:t>, </w:t>
      </w:r>
      <w:r w:rsidRPr="00A106EE">
        <w:rPr>
          <w:rFonts w:ascii="Times" w:hAnsi="Times" w:cs="Arial"/>
          <w:i/>
          <w:iCs/>
          <w:color w:val="222222"/>
          <w:shd w:val="clear" w:color="auto" w:fill="FFFFFF"/>
        </w:rPr>
        <w:t>10</w:t>
      </w:r>
      <w:r w:rsidRPr="00A106EE">
        <w:rPr>
          <w:rFonts w:ascii="Times" w:hAnsi="Times" w:cs="Arial"/>
          <w:color w:val="222222"/>
          <w:shd w:val="clear" w:color="auto" w:fill="FFFFFF"/>
        </w:rPr>
        <w:t>(6), e0130777.</w:t>
      </w:r>
    </w:p>
    <w:p w14:paraId="0DB2E0E9" w14:textId="77777777" w:rsidR="00A106EE" w:rsidRDefault="00A106EE" w:rsidP="00A106EE">
      <w:pPr>
        <w:spacing w:line="360" w:lineRule="auto"/>
        <w:rPr>
          <w:rFonts w:ascii="Times" w:hAnsi="Times" w:cs="Arial"/>
          <w:color w:val="222222"/>
          <w:shd w:val="clear" w:color="auto" w:fill="FFFFFF"/>
        </w:rPr>
      </w:pPr>
    </w:p>
    <w:p w14:paraId="50547762" w14:textId="79C0C9DF" w:rsidR="00A106EE" w:rsidRDefault="00A106EE" w:rsidP="00A106EE">
      <w:pPr>
        <w:spacing w:line="360" w:lineRule="auto"/>
        <w:rPr>
          <w:rFonts w:ascii="Times" w:hAnsi="Times" w:cs="Arial"/>
          <w:color w:val="222222"/>
          <w:shd w:val="clear" w:color="auto" w:fill="FFFFFF"/>
        </w:rPr>
      </w:pPr>
      <w:r w:rsidRPr="00A106EE">
        <w:rPr>
          <w:rFonts w:ascii="Times" w:hAnsi="Times" w:cs="Arial"/>
          <w:color w:val="222222"/>
          <w:shd w:val="clear" w:color="auto" w:fill="FFFFFF"/>
        </w:rPr>
        <w:t>Dave, U., Palaniappan, A., Lewis, E., &amp; Gosine, B. (2022). An overview of period poverty and</w:t>
      </w:r>
      <w:r>
        <w:rPr>
          <w:rFonts w:ascii="Times" w:hAnsi="Times" w:cs="Arial"/>
          <w:color w:val="222222"/>
          <w:shd w:val="clear" w:color="auto" w:fill="FFFFFF"/>
        </w:rPr>
        <w:tab/>
      </w:r>
      <w:r w:rsidRPr="00A106EE">
        <w:rPr>
          <w:rFonts w:ascii="Times" w:hAnsi="Times" w:cs="Arial"/>
          <w:color w:val="222222"/>
          <w:shd w:val="clear" w:color="auto" w:fill="FFFFFF"/>
        </w:rPr>
        <w:t>the public health benefit impact of providing free feminine hygiene</w:t>
      </w:r>
      <w:r>
        <w:rPr>
          <w:rFonts w:ascii="Times" w:hAnsi="Times" w:cs="Arial"/>
          <w:color w:val="222222"/>
          <w:shd w:val="clear" w:color="auto" w:fill="FFFFFF"/>
        </w:rPr>
        <w:tab/>
      </w:r>
      <w:r w:rsidRPr="00A106EE">
        <w:rPr>
          <w:rFonts w:ascii="Times" w:hAnsi="Times" w:cs="Arial"/>
          <w:color w:val="222222"/>
          <w:shd w:val="clear" w:color="auto" w:fill="FFFFFF"/>
        </w:rPr>
        <w:t>products. </w:t>
      </w:r>
      <w:r w:rsidRPr="00A106EE">
        <w:rPr>
          <w:rFonts w:ascii="Times" w:hAnsi="Times" w:cs="Arial"/>
          <w:i/>
          <w:iCs/>
          <w:color w:val="222222"/>
          <w:shd w:val="clear" w:color="auto" w:fill="FFFFFF"/>
        </w:rPr>
        <w:t>International Journal of Health Services Research and Policy</w:t>
      </w:r>
      <w:r w:rsidRPr="00A106EE">
        <w:rPr>
          <w:rFonts w:ascii="Times" w:hAnsi="Times" w:cs="Arial"/>
          <w:color w:val="222222"/>
          <w:shd w:val="clear" w:color="auto" w:fill="FFFFFF"/>
        </w:rPr>
        <w:t>, </w:t>
      </w:r>
      <w:r w:rsidRPr="00A106EE">
        <w:rPr>
          <w:rFonts w:ascii="Times" w:hAnsi="Times" w:cs="Arial"/>
          <w:i/>
          <w:iCs/>
          <w:color w:val="222222"/>
          <w:shd w:val="clear" w:color="auto" w:fill="FFFFFF"/>
        </w:rPr>
        <w:t>7</w:t>
      </w:r>
      <w:r w:rsidRPr="00A106EE">
        <w:rPr>
          <w:rFonts w:ascii="Times" w:hAnsi="Times" w:cs="Arial"/>
          <w:color w:val="222222"/>
          <w:shd w:val="clear" w:color="auto" w:fill="FFFFFF"/>
        </w:rPr>
        <w:t>(2), 221-226.</w:t>
      </w:r>
    </w:p>
    <w:p w14:paraId="0D72E3C8" w14:textId="77777777" w:rsidR="001A1E63" w:rsidRDefault="001A1E63" w:rsidP="00A106EE">
      <w:pPr>
        <w:spacing w:line="360" w:lineRule="auto"/>
        <w:rPr>
          <w:rFonts w:ascii="Times" w:hAnsi="Times" w:cs="Arial"/>
          <w:color w:val="222222"/>
          <w:shd w:val="clear" w:color="auto" w:fill="FFFFFF"/>
        </w:rPr>
      </w:pPr>
    </w:p>
    <w:p w14:paraId="3634E236" w14:textId="041A6A08" w:rsidR="001A1E63" w:rsidRPr="001A1E63" w:rsidRDefault="001A1E63" w:rsidP="001A1E63">
      <w:pPr>
        <w:spacing w:line="360" w:lineRule="auto"/>
        <w:rPr>
          <w:rFonts w:ascii="Times" w:hAnsi="Times" w:cs="Arial"/>
          <w:color w:val="222222"/>
          <w:shd w:val="clear" w:color="auto" w:fill="FFFFFF"/>
        </w:rPr>
      </w:pPr>
      <w:r>
        <w:rPr>
          <w:rFonts w:ascii="Times" w:hAnsi="Times" w:cs="Arial"/>
          <w:color w:val="222222"/>
          <w:shd w:val="clear" w:color="auto" w:fill="FFFFFF"/>
        </w:rPr>
        <w:t xml:space="preserve">Environics Research Canada. </w:t>
      </w:r>
      <w:r>
        <w:rPr>
          <w:rFonts w:ascii="Times" w:hAnsi="Times"/>
        </w:rPr>
        <w:t>(2023). A</w:t>
      </w:r>
      <w:r w:rsidRPr="001A1E63">
        <w:rPr>
          <w:rFonts w:ascii="Times" w:hAnsi="Times"/>
        </w:rPr>
        <w:t xml:space="preserve">ttitudes and </w:t>
      </w:r>
      <w:r>
        <w:rPr>
          <w:rFonts w:ascii="Times" w:hAnsi="Times"/>
        </w:rPr>
        <w:t>a</w:t>
      </w:r>
      <w:r w:rsidRPr="001A1E63">
        <w:rPr>
          <w:rFonts w:ascii="Times" w:hAnsi="Times"/>
        </w:rPr>
        <w:t xml:space="preserve">wareness of </w:t>
      </w:r>
      <w:r>
        <w:rPr>
          <w:rFonts w:ascii="Times" w:hAnsi="Times"/>
        </w:rPr>
        <w:t>m</w:t>
      </w:r>
      <w:r w:rsidRPr="001A1E63">
        <w:rPr>
          <w:rFonts w:ascii="Times" w:hAnsi="Times"/>
        </w:rPr>
        <w:t xml:space="preserve">enstrual </w:t>
      </w:r>
      <w:r>
        <w:rPr>
          <w:rFonts w:ascii="Times" w:hAnsi="Times"/>
        </w:rPr>
        <w:t>e</w:t>
      </w:r>
      <w:r w:rsidRPr="001A1E63">
        <w:rPr>
          <w:rFonts w:ascii="Times" w:hAnsi="Times"/>
        </w:rPr>
        <w:t xml:space="preserve">quity and </w:t>
      </w:r>
      <w:r>
        <w:rPr>
          <w:rFonts w:ascii="Times" w:hAnsi="Times"/>
        </w:rPr>
        <w:t>p</w:t>
      </w:r>
      <w:r w:rsidRPr="001A1E63">
        <w:rPr>
          <w:rFonts w:ascii="Times" w:hAnsi="Times"/>
        </w:rPr>
        <w:t>eriod</w:t>
      </w:r>
      <w:r>
        <w:rPr>
          <w:rFonts w:ascii="Times" w:hAnsi="Times"/>
        </w:rPr>
        <w:tab/>
        <w:t>p</w:t>
      </w:r>
      <w:r w:rsidRPr="001A1E63">
        <w:rPr>
          <w:rFonts w:ascii="Times" w:hAnsi="Times"/>
        </w:rPr>
        <w:t xml:space="preserve">overty </w:t>
      </w:r>
      <w:r>
        <w:rPr>
          <w:rFonts w:ascii="Times" w:hAnsi="Times"/>
        </w:rPr>
        <w:t>a</w:t>
      </w:r>
      <w:r w:rsidRPr="001A1E63">
        <w:rPr>
          <w:rFonts w:ascii="Times" w:hAnsi="Times"/>
        </w:rPr>
        <w:t>mong Canadians</w:t>
      </w:r>
      <w:r>
        <w:rPr>
          <w:rFonts w:ascii="Times" w:hAnsi="Times"/>
        </w:rPr>
        <w:t xml:space="preserve"> (prepared for the Women and Gender Equality Canada Board). </w:t>
      </w:r>
    </w:p>
    <w:p w14:paraId="5F622403" w14:textId="77777777" w:rsidR="00727F75" w:rsidRPr="008F314B" w:rsidRDefault="00727F75" w:rsidP="008F314B">
      <w:pPr>
        <w:spacing w:line="360" w:lineRule="auto"/>
        <w:rPr>
          <w:rFonts w:ascii="Times" w:hAnsi="Times"/>
        </w:rPr>
      </w:pPr>
    </w:p>
    <w:p w14:paraId="776019F3" w14:textId="24EF4CE4" w:rsidR="008F314B" w:rsidRDefault="008F314B" w:rsidP="008F314B">
      <w:pPr>
        <w:spacing w:line="360" w:lineRule="auto"/>
        <w:rPr>
          <w:rFonts w:ascii="Times" w:hAnsi="Times" w:cs="Arial"/>
          <w:color w:val="222222"/>
          <w:shd w:val="clear" w:color="auto" w:fill="FFFFFF"/>
        </w:rPr>
      </w:pPr>
      <w:r w:rsidRPr="008F314B">
        <w:rPr>
          <w:rFonts w:ascii="Times" w:hAnsi="Times" w:cs="Arial"/>
          <w:color w:val="222222"/>
          <w:shd w:val="clear" w:color="auto" w:fill="FFFFFF"/>
        </w:rPr>
        <w:lastRenderedPageBreak/>
        <w:t>Gallo, P., Julià, A., Marí-Klose, M., Serra, J., Bellavista, J., &amp; Escapa, S. (2023). Menstrual</w:t>
      </w:r>
      <w:r>
        <w:rPr>
          <w:rFonts w:ascii="Times" w:hAnsi="Times" w:cs="Arial"/>
          <w:color w:val="222222"/>
          <w:shd w:val="clear" w:color="auto" w:fill="FFFFFF"/>
        </w:rPr>
        <w:tab/>
      </w:r>
      <w:r w:rsidRPr="008F314B">
        <w:rPr>
          <w:rFonts w:ascii="Times" w:hAnsi="Times" w:cs="Arial"/>
          <w:color w:val="222222"/>
          <w:shd w:val="clear" w:color="auto" w:fill="FFFFFF"/>
        </w:rPr>
        <w:t xml:space="preserve">poverty among young women: </w:t>
      </w:r>
      <w:r w:rsidR="00402F16">
        <w:rPr>
          <w:rFonts w:ascii="Times" w:hAnsi="Times" w:cs="Arial"/>
          <w:color w:val="222222"/>
          <w:shd w:val="clear" w:color="auto" w:fill="FFFFFF"/>
        </w:rPr>
        <w:t>A</w:t>
      </w:r>
      <w:r w:rsidRPr="008F314B">
        <w:rPr>
          <w:rFonts w:ascii="Times" w:hAnsi="Times" w:cs="Arial"/>
          <w:color w:val="222222"/>
          <w:shd w:val="clear" w:color="auto" w:fill="FFFFFF"/>
        </w:rPr>
        <w:t xml:space="preserve"> cross-sectional study in the urban context of Barcelona,</w:t>
      </w:r>
      <w:r>
        <w:rPr>
          <w:rFonts w:ascii="Times" w:hAnsi="Times" w:cs="Arial"/>
          <w:color w:val="222222"/>
          <w:shd w:val="clear" w:color="auto" w:fill="FFFFFF"/>
        </w:rPr>
        <w:tab/>
      </w:r>
      <w:r w:rsidRPr="008F314B">
        <w:rPr>
          <w:rFonts w:ascii="Times" w:hAnsi="Times" w:cs="Arial"/>
          <w:color w:val="222222"/>
          <w:shd w:val="clear" w:color="auto" w:fill="FFFFFF"/>
        </w:rPr>
        <w:t>Spain. </w:t>
      </w:r>
      <w:r w:rsidRPr="008F314B">
        <w:rPr>
          <w:rFonts w:ascii="Times" w:hAnsi="Times" w:cs="Arial"/>
          <w:i/>
          <w:iCs/>
          <w:color w:val="222222"/>
          <w:shd w:val="clear" w:color="auto" w:fill="FFFFFF"/>
        </w:rPr>
        <w:t>Journal of Poverty and Social Justice</w:t>
      </w:r>
      <w:r w:rsidRPr="008F314B">
        <w:rPr>
          <w:rFonts w:ascii="Times" w:hAnsi="Times" w:cs="Arial"/>
          <w:color w:val="222222"/>
          <w:shd w:val="clear" w:color="auto" w:fill="FFFFFF"/>
        </w:rPr>
        <w:t>, </w:t>
      </w:r>
      <w:r w:rsidRPr="008F314B">
        <w:rPr>
          <w:rFonts w:ascii="Times" w:hAnsi="Times" w:cs="Arial"/>
          <w:i/>
          <w:iCs/>
          <w:color w:val="222222"/>
          <w:shd w:val="clear" w:color="auto" w:fill="FFFFFF"/>
        </w:rPr>
        <w:t>31</w:t>
      </w:r>
      <w:r w:rsidRPr="008F314B">
        <w:rPr>
          <w:rFonts w:ascii="Times" w:hAnsi="Times" w:cs="Arial"/>
          <w:color w:val="222222"/>
          <w:shd w:val="clear" w:color="auto" w:fill="FFFFFF"/>
        </w:rPr>
        <w:t>(1), 63-80.</w:t>
      </w:r>
    </w:p>
    <w:p w14:paraId="1B687D9D" w14:textId="77777777" w:rsidR="00D32CD9" w:rsidRDefault="00D32CD9" w:rsidP="008F314B">
      <w:pPr>
        <w:spacing w:line="360" w:lineRule="auto"/>
        <w:rPr>
          <w:rFonts w:ascii="Times" w:hAnsi="Times" w:cs="Arial"/>
          <w:color w:val="222222"/>
          <w:shd w:val="clear" w:color="auto" w:fill="FFFFFF"/>
        </w:rPr>
      </w:pPr>
    </w:p>
    <w:p w14:paraId="487CF91E" w14:textId="58B5C553" w:rsidR="00D32CD9" w:rsidRDefault="00D32CD9" w:rsidP="008F314B">
      <w:pPr>
        <w:spacing w:line="360" w:lineRule="auto"/>
        <w:rPr>
          <w:rFonts w:ascii="Times" w:hAnsi="Times" w:cs="Arial"/>
          <w:color w:val="222222"/>
          <w:shd w:val="clear" w:color="auto" w:fill="FFFFFF"/>
        </w:rPr>
      </w:pPr>
      <w:r w:rsidRPr="00D32CD9">
        <w:rPr>
          <w:rFonts w:ascii="Times" w:hAnsi="Times" w:cs="Arial"/>
          <w:color w:val="222222"/>
          <w:shd w:val="clear" w:color="auto" w:fill="FFFFFF"/>
        </w:rPr>
        <w:t>Gouvernet, B., Sebbe, F., Chapillon, P., Rezrazi, A., &amp; Brisson, J. (2023). Period poverty and</w:t>
      </w:r>
      <w:r>
        <w:rPr>
          <w:rFonts w:ascii="Times" w:hAnsi="Times" w:cs="Arial"/>
          <w:color w:val="222222"/>
          <w:shd w:val="clear" w:color="auto" w:fill="FFFFFF"/>
        </w:rPr>
        <w:tab/>
      </w:r>
      <w:r w:rsidRPr="00D32CD9">
        <w:rPr>
          <w:rFonts w:ascii="Times" w:hAnsi="Times" w:cs="Arial"/>
          <w:color w:val="222222"/>
          <w:shd w:val="clear" w:color="auto" w:fill="FFFFFF"/>
        </w:rPr>
        <w:t>mental health in times of COVID-19 in France. </w:t>
      </w:r>
      <w:r w:rsidRPr="00D32CD9">
        <w:rPr>
          <w:rFonts w:ascii="Times" w:hAnsi="Times" w:cs="Arial"/>
          <w:i/>
          <w:iCs/>
          <w:color w:val="222222"/>
          <w:shd w:val="clear" w:color="auto" w:fill="FFFFFF"/>
        </w:rPr>
        <w:t>Health Care for Women</w:t>
      </w:r>
      <w:r>
        <w:rPr>
          <w:rFonts w:ascii="Times" w:hAnsi="Times" w:cs="Arial"/>
          <w:i/>
          <w:iCs/>
          <w:color w:val="222222"/>
          <w:shd w:val="clear" w:color="auto" w:fill="FFFFFF"/>
        </w:rPr>
        <w:tab/>
      </w:r>
      <w:r w:rsidRPr="00D32CD9">
        <w:rPr>
          <w:rFonts w:ascii="Times" w:hAnsi="Times" w:cs="Arial"/>
          <w:i/>
          <w:iCs/>
          <w:color w:val="222222"/>
          <w:shd w:val="clear" w:color="auto" w:fill="FFFFFF"/>
        </w:rPr>
        <w:t>International</w:t>
      </w:r>
      <w:r w:rsidRPr="00D32CD9">
        <w:rPr>
          <w:rFonts w:ascii="Times" w:hAnsi="Times" w:cs="Arial"/>
          <w:color w:val="222222"/>
          <w:shd w:val="clear" w:color="auto" w:fill="FFFFFF"/>
        </w:rPr>
        <w:t>, </w:t>
      </w:r>
      <w:r w:rsidRPr="00D32CD9">
        <w:rPr>
          <w:rFonts w:ascii="Times" w:hAnsi="Times" w:cs="Arial"/>
          <w:i/>
          <w:iCs/>
          <w:color w:val="222222"/>
          <w:shd w:val="clear" w:color="auto" w:fill="FFFFFF"/>
        </w:rPr>
        <w:t>44</w:t>
      </w:r>
      <w:r w:rsidRPr="00D32CD9">
        <w:rPr>
          <w:rFonts w:ascii="Times" w:hAnsi="Times" w:cs="Arial"/>
          <w:color w:val="222222"/>
          <w:shd w:val="clear" w:color="auto" w:fill="FFFFFF"/>
        </w:rPr>
        <w:t>(5), 657-669.</w:t>
      </w:r>
    </w:p>
    <w:p w14:paraId="2BB478FC" w14:textId="77777777" w:rsidR="000D32F4" w:rsidRPr="00E63196" w:rsidRDefault="000D32F4" w:rsidP="008F314B">
      <w:pPr>
        <w:spacing w:line="360" w:lineRule="auto"/>
        <w:rPr>
          <w:rFonts w:ascii="Times" w:hAnsi="Times"/>
          <w:color w:val="000000"/>
          <w:shd w:val="clear" w:color="auto" w:fill="FFFFFF"/>
        </w:rPr>
      </w:pPr>
    </w:p>
    <w:p w14:paraId="62503334" w14:textId="2547202B" w:rsidR="00AD76C2" w:rsidRPr="00E3274F" w:rsidRDefault="000D32F4" w:rsidP="008F314B">
      <w:pPr>
        <w:spacing w:line="360" w:lineRule="auto"/>
        <w:rPr>
          <w:rFonts w:ascii="Times" w:hAnsi="Times"/>
          <w:color w:val="000000"/>
          <w:shd w:val="clear" w:color="auto" w:fill="FFFFFF"/>
        </w:rPr>
      </w:pPr>
      <w:r w:rsidRPr="00E63196">
        <w:rPr>
          <w:rFonts w:ascii="Times" w:hAnsi="Times"/>
          <w:color w:val="000000"/>
          <w:shd w:val="clear" w:color="auto" w:fill="FFFFFF"/>
        </w:rPr>
        <w:t>Government of Canada. (n.d.). </w:t>
      </w:r>
      <w:r w:rsidRPr="00E63196">
        <w:rPr>
          <w:rFonts w:ascii="Times" w:hAnsi="Times"/>
          <w:i/>
          <w:iCs/>
          <w:color w:val="000000"/>
          <w:shd w:val="clear" w:color="auto" w:fill="FFFFFF"/>
        </w:rPr>
        <w:t>Notice of Ways and Means Motion Concerning GST/HST and</w:t>
      </w:r>
      <w:r w:rsidR="00E63196">
        <w:rPr>
          <w:rFonts w:ascii="Times" w:hAnsi="Times"/>
          <w:i/>
          <w:iCs/>
          <w:color w:val="000000"/>
          <w:shd w:val="clear" w:color="auto" w:fill="FFFFFF"/>
        </w:rPr>
        <w:tab/>
      </w:r>
      <w:r w:rsidRPr="00E63196">
        <w:rPr>
          <w:rFonts w:ascii="Times" w:hAnsi="Times"/>
          <w:i/>
          <w:iCs/>
          <w:color w:val="000000"/>
          <w:shd w:val="clear" w:color="auto" w:fill="FFFFFF"/>
        </w:rPr>
        <w:t>Feminine Hygiene Products</w:t>
      </w:r>
      <w:r w:rsidRPr="00E63196">
        <w:rPr>
          <w:rFonts w:ascii="Times" w:hAnsi="Times"/>
          <w:color w:val="000000"/>
          <w:shd w:val="clear" w:color="auto" w:fill="FFFFFF"/>
        </w:rPr>
        <w:t xml:space="preserve">. </w:t>
      </w:r>
      <w:hyperlink r:id="rId19" w:history="1">
        <w:r w:rsidR="00E3274F" w:rsidRPr="000F5FD2">
          <w:rPr>
            <w:rStyle w:val="Hyperlink"/>
            <w:rFonts w:ascii="Times" w:hAnsi="Times"/>
            <w:shd w:val="clear" w:color="auto" w:fill="FFFFFF"/>
          </w:rPr>
          <w:t>https://www.canada.ca/en/revenueagency/services/childfamily-benefits/child-disability-benefit.html</w:t>
        </w:r>
      </w:hyperlink>
    </w:p>
    <w:p w14:paraId="1AD0DC10" w14:textId="77777777" w:rsidR="008F314B" w:rsidRDefault="008F314B" w:rsidP="008F314B">
      <w:pPr>
        <w:spacing w:line="360" w:lineRule="auto"/>
        <w:rPr>
          <w:rFonts w:ascii="Times" w:hAnsi="Times" w:cs="Arial"/>
          <w:color w:val="222222"/>
          <w:shd w:val="clear" w:color="auto" w:fill="FFFFFF"/>
        </w:rPr>
      </w:pPr>
    </w:p>
    <w:p w14:paraId="24DB8FF7" w14:textId="17525E23" w:rsidR="008F314B" w:rsidRPr="008F314B" w:rsidRDefault="008F314B" w:rsidP="008F314B">
      <w:pPr>
        <w:spacing w:line="360" w:lineRule="auto"/>
        <w:rPr>
          <w:rFonts w:ascii="Times" w:hAnsi="Times"/>
        </w:rPr>
      </w:pPr>
      <w:r w:rsidRPr="008F314B">
        <w:rPr>
          <w:rFonts w:ascii="Times" w:hAnsi="Times" w:cs="Arial"/>
          <w:color w:val="222222"/>
          <w:shd w:val="clear" w:color="auto" w:fill="FFFFFF"/>
        </w:rPr>
        <w:t>Hennegan, J., &amp; Montgomery, P. (2016). Do menstrual hygiene management interventions</w:t>
      </w:r>
      <w:r>
        <w:rPr>
          <w:rFonts w:ascii="Times" w:hAnsi="Times" w:cs="Arial"/>
          <w:color w:val="222222"/>
          <w:shd w:val="clear" w:color="auto" w:fill="FFFFFF"/>
        </w:rPr>
        <w:tab/>
      </w:r>
      <w:r w:rsidRPr="008F314B">
        <w:rPr>
          <w:rFonts w:ascii="Times" w:hAnsi="Times" w:cs="Arial"/>
          <w:color w:val="222222"/>
          <w:shd w:val="clear" w:color="auto" w:fill="FFFFFF"/>
        </w:rPr>
        <w:t>improve education and psychosocial outcomes for women and girls in low and middle</w:t>
      </w:r>
      <w:r>
        <w:rPr>
          <w:rFonts w:ascii="Times" w:hAnsi="Times" w:cs="Arial"/>
          <w:color w:val="222222"/>
          <w:shd w:val="clear" w:color="auto" w:fill="FFFFFF"/>
        </w:rPr>
        <w:tab/>
      </w:r>
      <w:r w:rsidRPr="008F314B">
        <w:rPr>
          <w:rFonts w:ascii="Times" w:hAnsi="Times" w:cs="Arial"/>
          <w:color w:val="222222"/>
          <w:shd w:val="clear" w:color="auto" w:fill="FFFFFF"/>
        </w:rPr>
        <w:t>income countries? A systematic review. </w:t>
      </w:r>
      <w:r w:rsidRPr="008F314B">
        <w:rPr>
          <w:rFonts w:ascii="Times" w:hAnsi="Times" w:cs="Arial"/>
          <w:i/>
          <w:iCs/>
          <w:color w:val="222222"/>
          <w:shd w:val="clear" w:color="auto" w:fill="FFFFFF"/>
        </w:rPr>
        <w:t>PloS one</w:t>
      </w:r>
      <w:r w:rsidRPr="008F314B">
        <w:rPr>
          <w:rFonts w:ascii="Times" w:hAnsi="Times" w:cs="Arial"/>
          <w:color w:val="222222"/>
          <w:shd w:val="clear" w:color="auto" w:fill="FFFFFF"/>
        </w:rPr>
        <w:t>, </w:t>
      </w:r>
      <w:r w:rsidRPr="008F314B">
        <w:rPr>
          <w:rFonts w:ascii="Times" w:hAnsi="Times" w:cs="Arial"/>
          <w:i/>
          <w:iCs/>
          <w:color w:val="222222"/>
          <w:shd w:val="clear" w:color="auto" w:fill="FFFFFF"/>
        </w:rPr>
        <w:t>11</w:t>
      </w:r>
      <w:r w:rsidRPr="008F314B">
        <w:rPr>
          <w:rFonts w:ascii="Times" w:hAnsi="Times" w:cs="Arial"/>
          <w:color w:val="222222"/>
          <w:shd w:val="clear" w:color="auto" w:fill="FFFFFF"/>
        </w:rPr>
        <w:t>(2), e0146985.</w:t>
      </w:r>
    </w:p>
    <w:p w14:paraId="75975FB8" w14:textId="77777777" w:rsidR="008F314B" w:rsidRPr="008F314B" w:rsidRDefault="008F314B" w:rsidP="008F314B">
      <w:pPr>
        <w:spacing w:line="360" w:lineRule="auto"/>
        <w:rPr>
          <w:rFonts w:ascii="Times" w:hAnsi="Times"/>
        </w:rPr>
      </w:pPr>
    </w:p>
    <w:p w14:paraId="0CF1113B" w14:textId="5FB2F223" w:rsidR="008F314B" w:rsidRPr="008F314B" w:rsidRDefault="008F314B" w:rsidP="008F314B">
      <w:pPr>
        <w:spacing w:line="360" w:lineRule="auto"/>
        <w:rPr>
          <w:rFonts w:ascii="Times" w:hAnsi="Times" w:cs="Arial"/>
          <w:color w:val="222222"/>
          <w:shd w:val="clear" w:color="auto" w:fill="FFFFFF"/>
        </w:rPr>
      </w:pPr>
      <w:r w:rsidRPr="008F314B">
        <w:rPr>
          <w:rFonts w:ascii="Times" w:hAnsi="Times" w:cs="Arial"/>
          <w:color w:val="222222"/>
          <w:shd w:val="clear" w:color="auto" w:fill="FFFFFF"/>
        </w:rPr>
        <w:t>Jaafar, H., Ismail, S. Y., &amp; Azzeri, A. (2023). Period poverty: A neglected public health</w:t>
      </w:r>
      <w:r>
        <w:rPr>
          <w:rFonts w:ascii="Times" w:hAnsi="Times" w:cs="Arial"/>
          <w:color w:val="222222"/>
          <w:shd w:val="clear" w:color="auto" w:fill="FFFFFF"/>
        </w:rPr>
        <w:tab/>
      </w:r>
      <w:r w:rsidRPr="008F314B">
        <w:rPr>
          <w:rFonts w:ascii="Times" w:hAnsi="Times" w:cs="Arial"/>
          <w:color w:val="222222"/>
          <w:shd w:val="clear" w:color="auto" w:fill="FFFFFF"/>
        </w:rPr>
        <w:t>issue. </w:t>
      </w:r>
      <w:r w:rsidRPr="008F314B">
        <w:rPr>
          <w:rFonts w:ascii="Times" w:hAnsi="Times" w:cs="Arial"/>
          <w:i/>
          <w:iCs/>
          <w:color w:val="222222"/>
          <w:shd w:val="clear" w:color="auto" w:fill="FFFFFF"/>
        </w:rPr>
        <w:t>Korean journal of family medicine</w:t>
      </w:r>
      <w:r w:rsidRPr="008F314B">
        <w:rPr>
          <w:rFonts w:ascii="Times" w:hAnsi="Times" w:cs="Arial"/>
          <w:color w:val="222222"/>
          <w:shd w:val="clear" w:color="auto" w:fill="FFFFFF"/>
        </w:rPr>
        <w:t>, </w:t>
      </w:r>
      <w:r w:rsidRPr="008F314B">
        <w:rPr>
          <w:rFonts w:ascii="Times" w:hAnsi="Times" w:cs="Arial"/>
          <w:i/>
          <w:iCs/>
          <w:color w:val="222222"/>
          <w:shd w:val="clear" w:color="auto" w:fill="FFFFFF"/>
        </w:rPr>
        <w:t>44</w:t>
      </w:r>
      <w:r w:rsidRPr="008F314B">
        <w:rPr>
          <w:rFonts w:ascii="Times" w:hAnsi="Times" w:cs="Arial"/>
          <w:color w:val="222222"/>
          <w:shd w:val="clear" w:color="auto" w:fill="FFFFFF"/>
        </w:rPr>
        <w:t>(4), 183.</w:t>
      </w:r>
    </w:p>
    <w:p w14:paraId="62625F3D" w14:textId="77777777" w:rsidR="00727F75" w:rsidRPr="008F314B" w:rsidRDefault="00727F75" w:rsidP="008F314B">
      <w:pPr>
        <w:spacing w:line="360" w:lineRule="auto"/>
        <w:rPr>
          <w:rFonts w:ascii="Times" w:hAnsi="Times"/>
        </w:rPr>
      </w:pPr>
    </w:p>
    <w:p w14:paraId="12542F83" w14:textId="724BA6C4" w:rsidR="008F314B" w:rsidRDefault="008F314B" w:rsidP="008F314B">
      <w:pPr>
        <w:spacing w:line="360" w:lineRule="auto"/>
        <w:rPr>
          <w:rFonts w:ascii="Times" w:hAnsi="Times" w:cs="Arial"/>
          <w:color w:val="222222"/>
          <w:shd w:val="clear" w:color="auto" w:fill="FFFFFF"/>
        </w:rPr>
      </w:pPr>
      <w:r w:rsidRPr="008F314B">
        <w:rPr>
          <w:rFonts w:ascii="Times" w:hAnsi="Times" w:cs="Arial"/>
          <w:color w:val="222222"/>
          <w:shd w:val="clear" w:color="auto" w:fill="FFFFFF"/>
        </w:rPr>
        <w:t>Lee, A. C., Toory, L., &amp; Harrison, M. E. (2024). Menstrual health inequities and “period</w:t>
      </w:r>
      <w:r>
        <w:rPr>
          <w:rFonts w:ascii="Times" w:hAnsi="Times" w:cs="Arial"/>
          <w:color w:val="222222"/>
          <w:shd w:val="clear" w:color="auto" w:fill="FFFFFF"/>
        </w:rPr>
        <w:tab/>
      </w:r>
      <w:r w:rsidRPr="008F314B">
        <w:rPr>
          <w:rFonts w:ascii="Times" w:hAnsi="Times" w:cs="Arial"/>
          <w:color w:val="222222"/>
          <w:shd w:val="clear" w:color="auto" w:fill="FFFFFF"/>
        </w:rPr>
        <w:t>poverty” in Canada. </w:t>
      </w:r>
      <w:r w:rsidRPr="008F314B">
        <w:rPr>
          <w:rFonts w:ascii="Times" w:hAnsi="Times" w:cs="Arial"/>
          <w:i/>
          <w:iCs/>
          <w:color w:val="222222"/>
          <w:shd w:val="clear" w:color="auto" w:fill="FFFFFF"/>
        </w:rPr>
        <w:t>Canadian Journal of Public Health</w:t>
      </w:r>
      <w:r w:rsidRPr="008F314B">
        <w:rPr>
          <w:rFonts w:ascii="Times" w:hAnsi="Times" w:cs="Arial"/>
          <w:color w:val="222222"/>
          <w:shd w:val="clear" w:color="auto" w:fill="FFFFFF"/>
        </w:rPr>
        <w:t>, 1-5.</w:t>
      </w:r>
    </w:p>
    <w:p w14:paraId="5DAE2C0E" w14:textId="77777777" w:rsidR="008F314B" w:rsidRPr="008F314B" w:rsidRDefault="008F314B" w:rsidP="008F314B">
      <w:pPr>
        <w:spacing w:line="360" w:lineRule="auto"/>
        <w:rPr>
          <w:rFonts w:ascii="Times" w:hAnsi="Times" w:cs="Arial"/>
          <w:color w:val="222222"/>
          <w:shd w:val="clear" w:color="auto" w:fill="FFFFFF"/>
        </w:rPr>
      </w:pPr>
    </w:p>
    <w:p w14:paraId="79FA822E" w14:textId="51BDF53A" w:rsidR="00727F75" w:rsidRPr="008F314B" w:rsidRDefault="008F314B" w:rsidP="008F314B">
      <w:pPr>
        <w:spacing w:line="360" w:lineRule="auto"/>
        <w:rPr>
          <w:rFonts w:ascii="Times" w:hAnsi="Times"/>
        </w:rPr>
      </w:pPr>
      <w:r w:rsidRPr="008F314B">
        <w:rPr>
          <w:rFonts w:ascii="Times" w:hAnsi="Times" w:cs="Arial"/>
          <w:color w:val="222222"/>
          <w:shd w:val="clear" w:color="auto" w:fill="FFFFFF"/>
        </w:rPr>
        <w:t xml:space="preserve">Michel, J., Mettler, A., Schönenberger, S., &amp; Gunz, D. (2022). Period poverty: </w:t>
      </w:r>
      <w:r w:rsidR="00402F16">
        <w:rPr>
          <w:rFonts w:ascii="Times" w:hAnsi="Times" w:cs="Arial"/>
          <w:color w:val="222222"/>
          <w:shd w:val="clear" w:color="auto" w:fill="FFFFFF"/>
        </w:rPr>
        <w:t>W</w:t>
      </w:r>
      <w:r w:rsidRPr="008F314B">
        <w:rPr>
          <w:rFonts w:ascii="Times" w:hAnsi="Times" w:cs="Arial"/>
          <w:color w:val="222222"/>
          <w:shd w:val="clear" w:color="auto" w:fill="FFFFFF"/>
        </w:rPr>
        <w:t>hy it should be</w:t>
      </w:r>
      <w:r>
        <w:rPr>
          <w:rFonts w:ascii="Times" w:hAnsi="Times" w:cs="Arial"/>
          <w:color w:val="222222"/>
          <w:shd w:val="clear" w:color="auto" w:fill="FFFFFF"/>
        </w:rPr>
        <w:tab/>
      </w:r>
      <w:r w:rsidRPr="008F314B">
        <w:rPr>
          <w:rFonts w:ascii="Times" w:hAnsi="Times" w:cs="Arial"/>
          <w:color w:val="222222"/>
          <w:shd w:val="clear" w:color="auto" w:fill="FFFFFF"/>
        </w:rPr>
        <w:t>everybody’s business. </w:t>
      </w:r>
      <w:r w:rsidRPr="008F314B">
        <w:rPr>
          <w:rFonts w:ascii="Times" w:hAnsi="Times" w:cs="Arial"/>
          <w:i/>
          <w:iCs/>
          <w:color w:val="222222"/>
          <w:shd w:val="clear" w:color="auto" w:fill="FFFFFF"/>
        </w:rPr>
        <w:t>Journal of Global Health Reports</w:t>
      </w:r>
      <w:r w:rsidRPr="008F314B">
        <w:rPr>
          <w:rFonts w:ascii="Times" w:hAnsi="Times" w:cs="Arial"/>
          <w:color w:val="222222"/>
          <w:shd w:val="clear" w:color="auto" w:fill="FFFFFF"/>
        </w:rPr>
        <w:t>, </w:t>
      </w:r>
      <w:r w:rsidRPr="008F314B">
        <w:rPr>
          <w:rFonts w:ascii="Times" w:hAnsi="Times" w:cs="Arial"/>
          <w:i/>
          <w:iCs/>
          <w:color w:val="222222"/>
          <w:shd w:val="clear" w:color="auto" w:fill="FFFFFF"/>
        </w:rPr>
        <w:t>6</w:t>
      </w:r>
      <w:r w:rsidRPr="008F314B">
        <w:rPr>
          <w:rFonts w:ascii="Times" w:hAnsi="Times" w:cs="Arial"/>
          <w:color w:val="222222"/>
          <w:shd w:val="clear" w:color="auto" w:fill="FFFFFF"/>
        </w:rPr>
        <w:t>, e2022009.</w:t>
      </w:r>
    </w:p>
    <w:p w14:paraId="1B1F866E" w14:textId="77777777" w:rsidR="00727F75" w:rsidRPr="008F314B" w:rsidRDefault="00727F75" w:rsidP="008F314B">
      <w:pPr>
        <w:spacing w:line="360" w:lineRule="auto"/>
        <w:rPr>
          <w:rFonts w:ascii="Times" w:hAnsi="Times"/>
        </w:rPr>
      </w:pPr>
    </w:p>
    <w:p w14:paraId="34B8FDB7" w14:textId="08C87DEB" w:rsidR="008F314B" w:rsidRDefault="008F314B" w:rsidP="008F314B">
      <w:pPr>
        <w:spacing w:line="360" w:lineRule="auto"/>
        <w:rPr>
          <w:rFonts w:ascii="Times" w:hAnsi="Times" w:cs="Arial"/>
          <w:color w:val="222222"/>
          <w:shd w:val="clear" w:color="auto" w:fill="FFFFFF"/>
        </w:rPr>
      </w:pPr>
      <w:r w:rsidRPr="008F314B">
        <w:rPr>
          <w:rFonts w:ascii="Times" w:hAnsi="Times" w:cs="Arial"/>
          <w:color w:val="222222"/>
          <w:shd w:val="clear" w:color="auto" w:fill="FFFFFF"/>
        </w:rPr>
        <w:t>Kalmus</w:t>
      </w:r>
      <w:r w:rsidR="0083474D">
        <w:rPr>
          <w:rFonts w:ascii="Times" w:hAnsi="Times" w:cs="Arial"/>
          <w:color w:val="222222"/>
          <w:shd w:val="clear" w:color="auto" w:fill="FFFFFF"/>
        </w:rPr>
        <w:t>, N</w:t>
      </w:r>
      <w:r w:rsidRPr="008F314B">
        <w:rPr>
          <w:rFonts w:ascii="Times" w:hAnsi="Times" w:cs="Arial"/>
          <w:color w:val="222222"/>
          <w:shd w:val="clear" w:color="auto" w:fill="FFFFFF"/>
        </w:rPr>
        <w:t>. Period Poevrty in the U.S. 2020. Data Analyst and Senior Perofrmance Audtiro</w:t>
      </w:r>
    </w:p>
    <w:p w14:paraId="6702288B" w14:textId="77777777" w:rsidR="00402C09" w:rsidRDefault="00402C09" w:rsidP="00385B79">
      <w:pPr>
        <w:spacing w:line="360" w:lineRule="auto"/>
        <w:rPr>
          <w:rFonts w:ascii="Times" w:hAnsi="Times" w:cs="Tahoma"/>
          <w:color w:val="222222"/>
          <w:shd w:val="clear" w:color="auto" w:fill="FFFFFF"/>
        </w:rPr>
      </w:pPr>
    </w:p>
    <w:p w14:paraId="341FEBD5" w14:textId="0B4B68DA" w:rsidR="00385B79" w:rsidRDefault="00385B79" w:rsidP="00385B79">
      <w:pPr>
        <w:spacing w:line="360" w:lineRule="auto"/>
        <w:rPr>
          <w:rFonts w:ascii="Times" w:hAnsi="Times" w:cs="Tahoma"/>
          <w:color w:val="222222"/>
          <w:shd w:val="clear" w:color="auto" w:fill="FFFFFF"/>
        </w:rPr>
      </w:pPr>
      <w:r w:rsidRPr="00385B79">
        <w:rPr>
          <w:rFonts w:ascii="Times" w:hAnsi="Times" w:cs="Tahoma"/>
          <w:color w:val="222222"/>
          <w:shd w:val="clear" w:color="auto" w:fill="FFFFFF"/>
        </w:rPr>
        <w:t>Rapp, A., &amp; Kilpatrick, S. (2020). Changing the cycle: period poverty as a public health</w:t>
      </w:r>
      <w:r>
        <w:rPr>
          <w:rFonts w:ascii="Times" w:hAnsi="Times" w:cs="Tahoma"/>
          <w:color w:val="222222"/>
          <w:shd w:val="clear" w:color="auto" w:fill="FFFFFF"/>
        </w:rPr>
        <w:tab/>
      </w:r>
      <w:r w:rsidRPr="00385B79">
        <w:rPr>
          <w:rFonts w:ascii="Times" w:hAnsi="Times" w:cs="Tahoma"/>
          <w:color w:val="222222"/>
          <w:shd w:val="clear" w:color="auto" w:fill="FFFFFF"/>
        </w:rPr>
        <w:t>crisis. </w:t>
      </w:r>
      <w:r w:rsidRPr="00385B79">
        <w:rPr>
          <w:rFonts w:ascii="Times" w:hAnsi="Times" w:cs="Tahoma"/>
          <w:i/>
          <w:iCs/>
          <w:color w:val="222222"/>
          <w:shd w:val="clear" w:color="auto" w:fill="FFFFFF"/>
        </w:rPr>
        <w:t>Ann Arbor (MI): University of Michigan School of Public Health</w:t>
      </w:r>
      <w:r w:rsidRPr="00385B79">
        <w:rPr>
          <w:rFonts w:ascii="Times" w:hAnsi="Times" w:cs="Tahoma"/>
          <w:color w:val="222222"/>
          <w:shd w:val="clear" w:color="auto" w:fill="FFFFFF"/>
        </w:rPr>
        <w:t>.</w:t>
      </w:r>
    </w:p>
    <w:p w14:paraId="4EB6A8FD" w14:textId="77777777" w:rsidR="00402C09" w:rsidRDefault="00402C09" w:rsidP="00385B79">
      <w:pPr>
        <w:spacing w:line="360" w:lineRule="auto"/>
        <w:rPr>
          <w:rFonts w:ascii="Times" w:hAnsi="Times" w:cs="Tahoma"/>
          <w:color w:val="222222"/>
          <w:shd w:val="clear" w:color="auto" w:fill="FFFFFF"/>
        </w:rPr>
      </w:pPr>
    </w:p>
    <w:p w14:paraId="48463D30" w14:textId="41E0B465" w:rsidR="00402C09" w:rsidRDefault="00402C09" w:rsidP="00481DB6">
      <w:pPr>
        <w:spacing w:line="360" w:lineRule="auto"/>
        <w:rPr>
          <w:rFonts w:ascii="Times" w:hAnsi="Times"/>
          <w:color w:val="212121"/>
          <w:shd w:val="clear" w:color="auto" w:fill="FFFFFF"/>
        </w:rPr>
      </w:pPr>
      <w:r w:rsidRPr="00402C09">
        <w:rPr>
          <w:rFonts w:ascii="Times" w:hAnsi="Times"/>
          <w:color w:val="212121"/>
          <w:shd w:val="clear" w:color="auto" w:fill="FFFFFF"/>
        </w:rPr>
        <w:lastRenderedPageBreak/>
        <w:t xml:space="preserve">Rodriguez L. </w:t>
      </w:r>
      <w:r>
        <w:rPr>
          <w:rFonts w:ascii="Times" w:hAnsi="Times"/>
          <w:color w:val="212121"/>
          <w:shd w:val="clear" w:color="auto" w:fill="FFFFFF"/>
        </w:rPr>
        <w:t>Nine w</w:t>
      </w:r>
      <w:r w:rsidRPr="00402C09">
        <w:rPr>
          <w:rFonts w:ascii="Times" w:hAnsi="Times"/>
          <w:color w:val="212121"/>
          <w:shd w:val="clear" w:color="auto" w:fill="FFFFFF"/>
        </w:rPr>
        <w:t>ins for menstrual equity in 2021. Global Citizen (2021).</w:t>
      </w:r>
      <w:r w:rsidR="00481DB6">
        <w:rPr>
          <w:rFonts w:ascii="Times" w:hAnsi="Times"/>
          <w:color w:val="212121"/>
          <w:shd w:val="clear" w:color="auto" w:fill="FFFFFF"/>
        </w:rPr>
        <w:tab/>
      </w:r>
      <w:hyperlink r:id="rId20" w:history="1">
        <w:r w:rsidR="00D41DA5" w:rsidRPr="000F5FD2">
          <w:rPr>
            <w:rStyle w:val="Hyperlink"/>
            <w:rFonts w:ascii="Times" w:hAnsi="Times"/>
            <w:shd w:val="clear" w:color="auto" w:fill="FFFFFF"/>
          </w:rPr>
          <w:t>https://www.globalcitizen.org/en/content/wins-for-menstrual-equity-in-2021/</w:t>
        </w:r>
      </w:hyperlink>
      <w:r w:rsidRPr="00402C09">
        <w:rPr>
          <w:rFonts w:ascii="Times" w:hAnsi="Times"/>
          <w:color w:val="212121"/>
          <w:shd w:val="clear" w:color="auto" w:fill="FFFFFF"/>
        </w:rPr>
        <w:t>.</w:t>
      </w:r>
    </w:p>
    <w:p w14:paraId="4C3CED36" w14:textId="77777777" w:rsidR="000B14CE" w:rsidRDefault="000B14CE" w:rsidP="00385B79">
      <w:pPr>
        <w:spacing w:line="360" w:lineRule="auto"/>
        <w:rPr>
          <w:rFonts w:ascii="Times" w:hAnsi="Times"/>
          <w:color w:val="212121"/>
          <w:shd w:val="clear" w:color="auto" w:fill="FFFFFF"/>
        </w:rPr>
      </w:pPr>
    </w:p>
    <w:p w14:paraId="4DFAEC9F" w14:textId="05C39416" w:rsidR="00402F16" w:rsidRPr="00877F65" w:rsidRDefault="00877F65" w:rsidP="008F314B">
      <w:pPr>
        <w:spacing w:line="360" w:lineRule="auto"/>
        <w:rPr>
          <w:rFonts w:ascii="Times" w:hAnsi="Times" w:cs="Arial"/>
          <w:color w:val="222222"/>
          <w:shd w:val="clear" w:color="auto" w:fill="FFFFFF"/>
        </w:rPr>
      </w:pPr>
      <w:r w:rsidRPr="00877F65">
        <w:rPr>
          <w:rFonts w:ascii="Times" w:hAnsi="Times" w:cs="Arial"/>
          <w:color w:val="222222"/>
          <w:shd w:val="clear" w:color="auto" w:fill="FFFFFF"/>
        </w:rPr>
        <w:t>Rodríguez, M. T., Nunes, S., &amp; Devezas, T. (2015, September). Telling stories with data</w:t>
      </w:r>
      <w:r>
        <w:rPr>
          <w:rFonts w:ascii="Times" w:hAnsi="Times" w:cs="Arial"/>
          <w:color w:val="222222"/>
          <w:shd w:val="clear" w:color="auto" w:fill="FFFFFF"/>
        </w:rPr>
        <w:tab/>
      </w:r>
      <w:r w:rsidRPr="00877F65">
        <w:rPr>
          <w:rFonts w:ascii="Times" w:hAnsi="Times" w:cs="Arial"/>
          <w:color w:val="222222"/>
          <w:shd w:val="clear" w:color="auto" w:fill="FFFFFF"/>
        </w:rPr>
        <w:t>visualization. In </w:t>
      </w:r>
      <w:r w:rsidRPr="00877F65">
        <w:rPr>
          <w:rFonts w:ascii="Times" w:hAnsi="Times" w:cs="Arial"/>
          <w:i/>
          <w:iCs/>
          <w:color w:val="222222"/>
          <w:shd w:val="clear" w:color="auto" w:fill="FFFFFF"/>
        </w:rPr>
        <w:t>Proceedings of the 2015 Workshop on Narrative &amp; Hypertext</w:t>
      </w:r>
      <w:r w:rsidRPr="00877F65">
        <w:rPr>
          <w:rFonts w:ascii="Times" w:hAnsi="Times" w:cs="Arial"/>
          <w:color w:val="222222"/>
          <w:shd w:val="clear" w:color="auto" w:fill="FFFFFF"/>
        </w:rPr>
        <w:t> (pp. 7-11).</w:t>
      </w:r>
    </w:p>
    <w:p w14:paraId="7AC8238F" w14:textId="727D931A" w:rsidR="00402F16" w:rsidRDefault="00402F16" w:rsidP="008F314B">
      <w:pPr>
        <w:spacing w:line="360" w:lineRule="auto"/>
        <w:rPr>
          <w:rFonts w:ascii="Times" w:hAnsi="Times" w:cs="Arial"/>
          <w:color w:val="222222"/>
          <w:shd w:val="clear" w:color="auto" w:fill="FFFFFF"/>
        </w:rPr>
      </w:pPr>
      <w:r>
        <w:rPr>
          <w:rFonts w:ascii="Times" w:hAnsi="Times" w:cs="Arial"/>
          <w:color w:val="222222"/>
          <w:shd w:val="clear" w:color="auto" w:fill="FFFFFF"/>
        </w:rPr>
        <w:t>Sacca, L., Maroun, C., Khoury, S., Maroun, V., Khoury, J. &amp; Bouery, P. (2023). Period poverty</w:t>
      </w:r>
      <w:r>
        <w:rPr>
          <w:rFonts w:ascii="Times" w:hAnsi="Times" w:cs="Arial"/>
          <w:color w:val="222222"/>
          <w:shd w:val="clear" w:color="auto" w:fill="FFFFFF"/>
        </w:rPr>
        <w:tab/>
        <w:t xml:space="preserve">in Lebanon: A call for action. </w:t>
      </w:r>
      <w:r>
        <w:rPr>
          <w:rFonts w:ascii="Times" w:hAnsi="Times" w:cs="Arial"/>
          <w:i/>
          <w:iCs/>
          <w:color w:val="222222"/>
          <w:shd w:val="clear" w:color="auto" w:fill="FFFFFF"/>
        </w:rPr>
        <w:t>Women’s Reproductive Health, 10</w:t>
      </w:r>
      <w:r>
        <w:rPr>
          <w:rFonts w:ascii="Times" w:hAnsi="Times" w:cs="Arial"/>
          <w:color w:val="222222"/>
          <w:shd w:val="clear" w:color="auto" w:fill="FFFFFF"/>
        </w:rPr>
        <w:t>(2), 236-251.</w:t>
      </w:r>
    </w:p>
    <w:p w14:paraId="2C2697FF" w14:textId="77777777" w:rsidR="00551AFC" w:rsidRDefault="00551AFC" w:rsidP="008F314B">
      <w:pPr>
        <w:spacing w:line="360" w:lineRule="auto"/>
        <w:rPr>
          <w:rFonts w:ascii="Times" w:hAnsi="Times" w:cs="Arial"/>
          <w:color w:val="222222"/>
          <w:shd w:val="clear" w:color="auto" w:fill="FFFFFF"/>
        </w:rPr>
      </w:pPr>
    </w:p>
    <w:p w14:paraId="2287B28C" w14:textId="5DFDD408" w:rsidR="00551AFC" w:rsidRPr="00551AFC" w:rsidRDefault="00551AFC" w:rsidP="008F314B">
      <w:pPr>
        <w:spacing w:line="360" w:lineRule="auto"/>
        <w:rPr>
          <w:rFonts w:ascii="Times" w:hAnsi="Times"/>
        </w:rPr>
      </w:pPr>
      <w:r w:rsidRPr="00551AFC">
        <w:rPr>
          <w:rFonts w:ascii="Times" w:hAnsi="Times"/>
          <w:color w:val="212121"/>
          <w:shd w:val="clear" w:color="auto" w:fill="FFFFFF"/>
        </w:rPr>
        <w:t>Vardapetyan</w:t>
      </w:r>
      <w:r>
        <w:rPr>
          <w:rFonts w:ascii="Times" w:hAnsi="Times"/>
          <w:color w:val="212121"/>
          <w:shd w:val="clear" w:color="auto" w:fill="FFFFFF"/>
        </w:rPr>
        <w:t>,</w:t>
      </w:r>
      <w:r w:rsidRPr="00551AFC">
        <w:rPr>
          <w:rFonts w:ascii="Times" w:hAnsi="Times"/>
          <w:color w:val="212121"/>
          <w:shd w:val="clear" w:color="auto" w:fill="FFFFFF"/>
        </w:rPr>
        <w:t xml:space="preserve"> A. Period poverty: </w:t>
      </w:r>
      <w:r>
        <w:rPr>
          <w:rFonts w:ascii="Times" w:hAnsi="Times"/>
          <w:color w:val="212121"/>
          <w:shd w:val="clear" w:color="auto" w:fill="FFFFFF"/>
        </w:rPr>
        <w:t>T</w:t>
      </w:r>
      <w:r w:rsidRPr="00551AFC">
        <w:rPr>
          <w:rFonts w:ascii="Times" w:hAnsi="Times"/>
          <w:color w:val="212121"/>
          <w:shd w:val="clear" w:color="auto" w:fill="FFFFFF"/>
        </w:rPr>
        <w:t>he belittling of a basic need. American Medical Women’s</w:t>
      </w:r>
      <w:r>
        <w:rPr>
          <w:rFonts w:ascii="Times" w:hAnsi="Times"/>
          <w:color w:val="212121"/>
          <w:shd w:val="clear" w:color="auto" w:fill="FFFFFF"/>
        </w:rPr>
        <w:tab/>
      </w:r>
      <w:r w:rsidRPr="00551AFC">
        <w:rPr>
          <w:rFonts w:ascii="Times" w:hAnsi="Times"/>
          <w:color w:val="212121"/>
          <w:shd w:val="clear" w:color="auto" w:fill="FFFFFF"/>
        </w:rPr>
        <w:t xml:space="preserve">Association (2021). </w:t>
      </w:r>
    </w:p>
    <w:p w14:paraId="1F0DEDD3" w14:textId="77777777" w:rsidR="008F314B" w:rsidRPr="00551AFC" w:rsidRDefault="008F314B" w:rsidP="008F314B">
      <w:pPr>
        <w:tabs>
          <w:tab w:val="left" w:pos="2714"/>
        </w:tabs>
        <w:spacing w:line="360" w:lineRule="auto"/>
        <w:rPr>
          <w:rFonts w:ascii="Times" w:hAnsi="Times"/>
        </w:rPr>
      </w:pPr>
    </w:p>
    <w:p w14:paraId="2591BAC6" w14:textId="77777777" w:rsidR="008F314B" w:rsidRPr="008F314B" w:rsidRDefault="008F314B" w:rsidP="008F314B">
      <w:pPr>
        <w:spacing w:line="360" w:lineRule="auto"/>
        <w:rPr>
          <w:rFonts w:ascii="Times" w:hAnsi="Times" w:cs="Arial"/>
          <w:color w:val="222222"/>
          <w:shd w:val="clear" w:color="auto" w:fill="FFFFFF"/>
        </w:rPr>
      </w:pPr>
    </w:p>
    <w:p w14:paraId="0418F23F" w14:textId="520073FB" w:rsidR="00727F75" w:rsidRPr="008F314B" w:rsidRDefault="00727F75" w:rsidP="008F314B">
      <w:pPr>
        <w:tabs>
          <w:tab w:val="left" w:pos="2714"/>
        </w:tabs>
        <w:spacing w:line="360" w:lineRule="auto"/>
        <w:rPr>
          <w:rFonts w:ascii="Times" w:hAnsi="Times"/>
        </w:rPr>
      </w:pPr>
      <w:r w:rsidRPr="008F314B">
        <w:rPr>
          <w:rFonts w:ascii="Times" w:hAnsi="Times"/>
        </w:rPr>
        <w:tab/>
      </w:r>
    </w:p>
    <w:p w14:paraId="6E6438EF" w14:textId="77777777" w:rsidR="00727F75" w:rsidRPr="008F314B" w:rsidRDefault="00727F75" w:rsidP="008F314B">
      <w:pPr>
        <w:spacing w:line="360" w:lineRule="auto"/>
        <w:rPr>
          <w:rFonts w:ascii="Times" w:hAnsi="Times"/>
        </w:rPr>
      </w:pPr>
    </w:p>
    <w:p w14:paraId="2AC11B59" w14:textId="77777777" w:rsidR="00727F75" w:rsidRPr="008F314B" w:rsidRDefault="00727F75" w:rsidP="008F314B">
      <w:pPr>
        <w:spacing w:line="360" w:lineRule="auto"/>
        <w:rPr>
          <w:rFonts w:ascii="Times" w:hAnsi="Times"/>
        </w:rPr>
      </w:pPr>
    </w:p>
    <w:p w14:paraId="1961A4EA" w14:textId="77777777" w:rsidR="00727F75" w:rsidRPr="008F314B" w:rsidRDefault="00727F75" w:rsidP="008F314B">
      <w:pPr>
        <w:spacing w:line="360" w:lineRule="auto"/>
        <w:rPr>
          <w:rFonts w:ascii="Times" w:hAnsi="Times"/>
        </w:rPr>
      </w:pPr>
    </w:p>
    <w:sectPr w:rsidR="00727F75" w:rsidRPr="008F314B">
      <w:footerReference w:type="even"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3C42A" w14:textId="77777777" w:rsidR="000A069C" w:rsidRDefault="000A069C" w:rsidP="004D7207">
      <w:r>
        <w:separator/>
      </w:r>
    </w:p>
  </w:endnote>
  <w:endnote w:type="continuationSeparator" w:id="0">
    <w:p w14:paraId="02C4E6CB" w14:textId="77777777" w:rsidR="000A069C" w:rsidRDefault="000A069C" w:rsidP="004D7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7057865"/>
      <w:docPartObj>
        <w:docPartGallery w:val="Page Numbers (Bottom of Page)"/>
        <w:docPartUnique/>
      </w:docPartObj>
    </w:sdtPr>
    <w:sdtContent>
      <w:p w14:paraId="040C6629" w14:textId="2E77A061" w:rsidR="004D7207" w:rsidRDefault="004D7207" w:rsidP="000F5F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F924FA" w14:textId="77777777" w:rsidR="004D7207" w:rsidRDefault="004D7207" w:rsidP="004D72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w:hAnsi="Times"/>
      </w:rPr>
      <w:id w:val="-218595420"/>
      <w:docPartObj>
        <w:docPartGallery w:val="Page Numbers (Bottom of Page)"/>
        <w:docPartUnique/>
      </w:docPartObj>
    </w:sdtPr>
    <w:sdtContent>
      <w:p w14:paraId="5205A3F0" w14:textId="30FD0573" w:rsidR="004D7207" w:rsidRPr="004D7207" w:rsidRDefault="004D7207" w:rsidP="000F5FD2">
        <w:pPr>
          <w:pStyle w:val="Footer"/>
          <w:framePr w:wrap="none" w:vAnchor="text" w:hAnchor="margin" w:xAlign="right" w:y="1"/>
          <w:rPr>
            <w:rStyle w:val="PageNumber"/>
            <w:rFonts w:ascii="Times" w:hAnsi="Times"/>
          </w:rPr>
        </w:pPr>
        <w:r w:rsidRPr="004D7207">
          <w:rPr>
            <w:rStyle w:val="PageNumber"/>
            <w:rFonts w:ascii="Times" w:hAnsi="Times"/>
          </w:rPr>
          <w:fldChar w:fldCharType="begin"/>
        </w:r>
        <w:r w:rsidRPr="004D7207">
          <w:rPr>
            <w:rStyle w:val="PageNumber"/>
            <w:rFonts w:ascii="Times" w:hAnsi="Times"/>
          </w:rPr>
          <w:instrText xml:space="preserve"> PAGE </w:instrText>
        </w:r>
        <w:r w:rsidRPr="004D7207">
          <w:rPr>
            <w:rStyle w:val="PageNumber"/>
            <w:rFonts w:ascii="Times" w:hAnsi="Times"/>
          </w:rPr>
          <w:fldChar w:fldCharType="separate"/>
        </w:r>
        <w:r w:rsidRPr="004D7207">
          <w:rPr>
            <w:rStyle w:val="PageNumber"/>
            <w:rFonts w:ascii="Times" w:hAnsi="Times"/>
            <w:noProof/>
          </w:rPr>
          <w:t>1</w:t>
        </w:r>
        <w:r w:rsidRPr="004D7207">
          <w:rPr>
            <w:rStyle w:val="PageNumber"/>
            <w:rFonts w:ascii="Times" w:hAnsi="Times"/>
          </w:rPr>
          <w:fldChar w:fldCharType="end"/>
        </w:r>
      </w:p>
    </w:sdtContent>
  </w:sdt>
  <w:p w14:paraId="2028A318" w14:textId="77777777" w:rsidR="004D7207" w:rsidRDefault="004D7207" w:rsidP="004D72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EC858" w14:textId="77777777" w:rsidR="000A069C" w:rsidRDefault="000A069C" w:rsidP="004D7207">
      <w:r>
        <w:separator/>
      </w:r>
    </w:p>
  </w:footnote>
  <w:footnote w:type="continuationSeparator" w:id="0">
    <w:p w14:paraId="30A794DF" w14:textId="77777777" w:rsidR="000A069C" w:rsidRDefault="000A069C" w:rsidP="004D7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A57B9"/>
    <w:multiLevelType w:val="multilevel"/>
    <w:tmpl w:val="3708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9E00B4"/>
    <w:multiLevelType w:val="hybridMultilevel"/>
    <w:tmpl w:val="3BFEDA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B932463"/>
    <w:multiLevelType w:val="hybridMultilevel"/>
    <w:tmpl w:val="FFC855AA"/>
    <w:lvl w:ilvl="0" w:tplc="A560CFE4">
      <w:start w:val="1"/>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8971604">
    <w:abstractNumId w:val="2"/>
  </w:num>
  <w:num w:numId="2" w16cid:durableId="1343707251">
    <w:abstractNumId w:val="0"/>
  </w:num>
  <w:num w:numId="3" w16cid:durableId="1626544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E4D"/>
    <w:rsid w:val="0002234E"/>
    <w:rsid w:val="000423C2"/>
    <w:rsid w:val="00065613"/>
    <w:rsid w:val="00081695"/>
    <w:rsid w:val="00094724"/>
    <w:rsid w:val="000A069C"/>
    <w:rsid w:val="000A21E5"/>
    <w:rsid w:val="000B14CE"/>
    <w:rsid w:val="000C7E92"/>
    <w:rsid w:val="000D32F4"/>
    <w:rsid w:val="0012039A"/>
    <w:rsid w:val="00140EE4"/>
    <w:rsid w:val="00144BC7"/>
    <w:rsid w:val="00150976"/>
    <w:rsid w:val="0016797D"/>
    <w:rsid w:val="001A0CB0"/>
    <w:rsid w:val="001A1E63"/>
    <w:rsid w:val="001C4388"/>
    <w:rsid w:val="001E3FDD"/>
    <w:rsid w:val="001F24AC"/>
    <w:rsid w:val="001F6F81"/>
    <w:rsid w:val="00203935"/>
    <w:rsid w:val="002039DE"/>
    <w:rsid w:val="00256B15"/>
    <w:rsid w:val="002608E0"/>
    <w:rsid w:val="00263C47"/>
    <w:rsid w:val="00276B7B"/>
    <w:rsid w:val="00293FCB"/>
    <w:rsid w:val="00296A2F"/>
    <w:rsid w:val="002A0309"/>
    <w:rsid w:val="002A145C"/>
    <w:rsid w:val="002A5330"/>
    <w:rsid w:val="002D1660"/>
    <w:rsid w:val="002F1050"/>
    <w:rsid w:val="003014DF"/>
    <w:rsid w:val="003118FA"/>
    <w:rsid w:val="003216E6"/>
    <w:rsid w:val="00322855"/>
    <w:rsid w:val="00330062"/>
    <w:rsid w:val="00385B79"/>
    <w:rsid w:val="003A5A55"/>
    <w:rsid w:val="003B0F09"/>
    <w:rsid w:val="003B7705"/>
    <w:rsid w:val="003E66C4"/>
    <w:rsid w:val="003F09B7"/>
    <w:rsid w:val="00402C09"/>
    <w:rsid w:val="00402F16"/>
    <w:rsid w:val="0041073B"/>
    <w:rsid w:val="00430BEE"/>
    <w:rsid w:val="00464E6E"/>
    <w:rsid w:val="004652EA"/>
    <w:rsid w:val="00481DB6"/>
    <w:rsid w:val="00483A32"/>
    <w:rsid w:val="00492F94"/>
    <w:rsid w:val="004C1B91"/>
    <w:rsid w:val="004D1ED0"/>
    <w:rsid w:val="004D7207"/>
    <w:rsid w:val="004E0750"/>
    <w:rsid w:val="00551AFC"/>
    <w:rsid w:val="00552745"/>
    <w:rsid w:val="005770DB"/>
    <w:rsid w:val="00596C2E"/>
    <w:rsid w:val="005C572C"/>
    <w:rsid w:val="005F78A5"/>
    <w:rsid w:val="00610A93"/>
    <w:rsid w:val="00642E4D"/>
    <w:rsid w:val="006836DB"/>
    <w:rsid w:val="00694EFE"/>
    <w:rsid w:val="0069624F"/>
    <w:rsid w:val="007047DC"/>
    <w:rsid w:val="00727F75"/>
    <w:rsid w:val="00773392"/>
    <w:rsid w:val="007906FF"/>
    <w:rsid w:val="007C7533"/>
    <w:rsid w:val="007D03D8"/>
    <w:rsid w:val="007F2EDA"/>
    <w:rsid w:val="008029AC"/>
    <w:rsid w:val="00816944"/>
    <w:rsid w:val="0083474D"/>
    <w:rsid w:val="00837FFD"/>
    <w:rsid w:val="008406CD"/>
    <w:rsid w:val="008414E1"/>
    <w:rsid w:val="00845B79"/>
    <w:rsid w:val="008540C5"/>
    <w:rsid w:val="00870637"/>
    <w:rsid w:val="00877F65"/>
    <w:rsid w:val="0088738D"/>
    <w:rsid w:val="008A0854"/>
    <w:rsid w:val="008B4E2B"/>
    <w:rsid w:val="008D75DC"/>
    <w:rsid w:val="008E7360"/>
    <w:rsid w:val="008F314B"/>
    <w:rsid w:val="00935589"/>
    <w:rsid w:val="0093731D"/>
    <w:rsid w:val="00961909"/>
    <w:rsid w:val="00977471"/>
    <w:rsid w:val="00992FB3"/>
    <w:rsid w:val="0099588E"/>
    <w:rsid w:val="00995AEB"/>
    <w:rsid w:val="009C6731"/>
    <w:rsid w:val="009D4075"/>
    <w:rsid w:val="009E20DA"/>
    <w:rsid w:val="009F2D66"/>
    <w:rsid w:val="00A106EE"/>
    <w:rsid w:val="00A159A3"/>
    <w:rsid w:val="00A17E55"/>
    <w:rsid w:val="00A8336B"/>
    <w:rsid w:val="00AA18D4"/>
    <w:rsid w:val="00AA7613"/>
    <w:rsid w:val="00AC5D67"/>
    <w:rsid w:val="00AD76C2"/>
    <w:rsid w:val="00AD7B81"/>
    <w:rsid w:val="00AE4209"/>
    <w:rsid w:val="00B0504C"/>
    <w:rsid w:val="00B14D52"/>
    <w:rsid w:val="00B166D2"/>
    <w:rsid w:val="00B346EF"/>
    <w:rsid w:val="00B45C61"/>
    <w:rsid w:val="00B47B65"/>
    <w:rsid w:val="00B65B7C"/>
    <w:rsid w:val="00BC4D07"/>
    <w:rsid w:val="00BC6B95"/>
    <w:rsid w:val="00BD1F2D"/>
    <w:rsid w:val="00BE05BF"/>
    <w:rsid w:val="00BE5934"/>
    <w:rsid w:val="00C33210"/>
    <w:rsid w:val="00C3573C"/>
    <w:rsid w:val="00CA586C"/>
    <w:rsid w:val="00CB1A76"/>
    <w:rsid w:val="00CD5005"/>
    <w:rsid w:val="00CD64F9"/>
    <w:rsid w:val="00CF40FE"/>
    <w:rsid w:val="00D15007"/>
    <w:rsid w:val="00D242C1"/>
    <w:rsid w:val="00D32779"/>
    <w:rsid w:val="00D32CD9"/>
    <w:rsid w:val="00D4014F"/>
    <w:rsid w:val="00D41DA5"/>
    <w:rsid w:val="00D5659D"/>
    <w:rsid w:val="00D65B55"/>
    <w:rsid w:val="00D8608D"/>
    <w:rsid w:val="00DB3F0F"/>
    <w:rsid w:val="00DD42F7"/>
    <w:rsid w:val="00E06B76"/>
    <w:rsid w:val="00E173C1"/>
    <w:rsid w:val="00E3274F"/>
    <w:rsid w:val="00E357C0"/>
    <w:rsid w:val="00E3693F"/>
    <w:rsid w:val="00E46880"/>
    <w:rsid w:val="00E55F00"/>
    <w:rsid w:val="00E63196"/>
    <w:rsid w:val="00E70F29"/>
    <w:rsid w:val="00E906F0"/>
    <w:rsid w:val="00E92D6B"/>
    <w:rsid w:val="00EA40D0"/>
    <w:rsid w:val="00EA75BD"/>
    <w:rsid w:val="00EB20F9"/>
    <w:rsid w:val="00EC20AF"/>
    <w:rsid w:val="00EC7E49"/>
    <w:rsid w:val="00ED1668"/>
    <w:rsid w:val="00ED337F"/>
    <w:rsid w:val="00ED730A"/>
    <w:rsid w:val="00EE0538"/>
    <w:rsid w:val="00EE7C33"/>
    <w:rsid w:val="00EF5C9B"/>
    <w:rsid w:val="00F0539F"/>
    <w:rsid w:val="00F52CBA"/>
    <w:rsid w:val="00F56D22"/>
    <w:rsid w:val="00F57262"/>
    <w:rsid w:val="00F85E51"/>
    <w:rsid w:val="00FE1A51"/>
    <w:rsid w:val="00FE39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0B35A"/>
  <w15:chartTrackingRefBased/>
  <w15:docId w15:val="{B94A501E-8C52-D34F-B664-CCF5F490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2E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2E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2E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2E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2E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2E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2E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2E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2E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E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2E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2E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2E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2E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2E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2E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2E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2E4D"/>
    <w:rPr>
      <w:rFonts w:eastAsiaTheme="majorEastAsia" w:cstheme="majorBidi"/>
      <w:color w:val="272727" w:themeColor="text1" w:themeTint="D8"/>
    </w:rPr>
  </w:style>
  <w:style w:type="paragraph" w:styleId="Title">
    <w:name w:val="Title"/>
    <w:basedOn w:val="Normal"/>
    <w:next w:val="Normal"/>
    <w:link w:val="TitleChar"/>
    <w:uiPriority w:val="10"/>
    <w:qFormat/>
    <w:rsid w:val="00642E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2E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2E4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2E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2E4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42E4D"/>
    <w:rPr>
      <w:i/>
      <w:iCs/>
      <w:color w:val="404040" w:themeColor="text1" w:themeTint="BF"/>
    </w:rPr>
  </w:style>
  <w:style w:type="paragraph" w:styleId="ListParagraph">
    <w:name w:val="List Paragraph"/>
    <w:basedOn w:val="Normal"/>
    <w:uiPriority w:val="34"/>
    <w:qFormat/>
    <w:rsid w:val="00642E4D"/>
    <w:pPr>
      <w:ind w:left="720"/>
      <w:contextualSpacing/>
    </w:pPr>
  </w:style>
  <w:style w:type="character" w:styleId="IntenseEmphasis">
    <w:name w:val="Intense Emphasis"/>
    <w:basedOn w:val="DefaultParagraphFont"/>
    <w:uiPriority w:val="21"/>
    <w:qFormat/>
    <w:rsid w:val="00642E4D"/>
    <w:rPr>
      <w:i/>
      <w:iCs/>
      <w:color w:val="0F4761" w:themeColor="accent1" w:themeShade="BF"/>
    </w:rPr>
  </w:style>
  <w:style w:type="paragraph" w:styleId="IntenseQuote">
    <w:name w:val="Intense Quote"/>
    <w:basedOn w:val="Normal"/>
    <w:next w:val="Normal"/>
    <w:link w:val="IntenseQuoteChar"/>
    <w:uiPriority w:val="30"/>
    <w:qFormat/>
    <w:rsid w:val="00642E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2E4D"/>
    <w:rPr>
      <w:i/>
      <w:iCs/>
      <w:color w:val="0F4761" w:themeColor="accent1" w:themeShade="BF"/>
    </w:rPr>
  </w:style>
  <w:style w:type="character" w:styleId="IntenseReference">
    <w:name w:val="Intense Reference"/>
    <w:basedOn w:val="DefaultParagraphFont"/>
    <w:uiPriority w:val="32"/>
    <w:qFormat/>
    <w:rsid w:val="00642E4D"/>
    <w:rPr>
      <w:b/>
      <w:bCs/>
      <w:smallCaps/>
      <w:color w:val="0F4761" w:themeColor="accent1" w:themeShade="BF"/>
      <w:spacing w:val="5"/>
    </w:rPr>
  </w:style>
  <w:style w:type="character" w:styleId="Hyperlink">
    <w:name w:val="Hyperlink"/>
    <w:basedOn w:val="DefaultParagraphFont"/>
    <w:uiPriority w:val="99"/>
    <w:unhideWhenUsed/>
    <w:rsid w:val="00D4014F"/>
    <w:rPr>
      <w:color w:val="467886" w:themeColor="hyperlink"/>
      <w:u w:val="single"/>
    </w:rPr>
  </w:style>
  <w:style w:type="character" w:styleId="FollowedHyperlink">
    <w:name w:val="FollowedHyperlink"/>
    <w:basedOn w:val="DefaultParagraphFont"/>
    <w:uiPriority w:val="99"/>
    <w:semiHidden/>
    <w:unhideWhenUsed/>
    <w:rsid w:val="00727F75"/>
    <w:rPr>
      <w:color w:val="96607D" w:themeColor="followedHyperlink"/>
      <w:u w:val="single"/>
    </w:rPr>
  </w:style>
  <w:style w:type="paragraph" w:styleId="NormalWeb">
    <w:name w:val="Normal (Web)"/>
    <w:basedOn w:val="Normal"/>
    <w:uiPriority w:val="99"/>
    <w:semiHidden/>
    <w:unhideWhenUsed/>
    <w:rsid w:val="00AD7B81"/>
    <w:pPr>
      <w:spacing w:before="100" w:beforeAutospacing="1" w:after="100" w:afterAutospacing="1"/>
    </w:pPr>
    <w:rPr>
      <w:rFonts w:ascii="Times New Roman" w:eastAsia="Times New Roman" w:hAnsi="Times New Roman" w:cs="Times New Roman"/>
      <w:kern w:val="0"/>
    </w:rPr>
  </w:style>
  <w:style w:type="character" w:styleId="UnresolvedMention">
    <w:name w:val="Unresolved Mention"/>
    <w:basedOn w:val="DefaultParagraphFont"/>
    <w:uiPriority w:val="99"/>
    <w:semiHidden/>
    <w:unhideWhenUsed/>
    <w:rsid w:val="00551AFC"/>
    <w:rPr>
      <w:color w:val="605E5C"/>
      <w:shd w:val="clear" w:color="auto" w:fill="E1DFDD"/>
    </w:rPr>
  </w:style>
  <w:style w:type="character" w:styleId="Emphasis">
    <w:name w:val="Emphasis"/>
    <w:basedOn w:val="DefaultParagraphFont"/>
    <w:uiPriority w:val="20"/>
    <w:qFormat/>
    <w:rsid w:val="000D32F4"/>
    <w:rPr>
      <w:i/>
      <w:iCs/>
    </w:rPr>
  </w:style>
  <w:style w:type="paragraph" w:styleId="Footer">
    <w:name w:val="footer"/>
    <w:basedOn w:val="Normal"/>
    <w:link w:val="FooterChar"/>
    <w:uiPriority w:val="99"/>
    <w:unhideWhenUsed/>
    <w:rsid w:val="004D7207"/>
    <w:pPr>
      <w:tabs>
        <w:tab w:val="center" w:pos="4680"/>
        <w:tab w:val="right" w:pos="9360"/>
      </w:tabs>
    </w:pPr>
  </w:style>
  <w:style w:type="character" w:customStyle="1" w:styleId="FooterChar">
    <w:name w:val="Footer Char"/>
    <w:basedOn w:val="DefaultParagraphFont"/>
    <w:link w:val="Footer"/>
    <w:uiPriority w:val="99"/>
    <w:rsid w:val="004D7207"/>
  </w:style>
  <w:style w:type="character" w:styleId="PageNumber">
    <w:name w:val="page number"/>
    <w:basedOn w:val="DefaultParagraphFont"/>
    <w:uiPriority w:val="99"/>
    <w:semiHidden/>
    <w:unhideWhenUsed/>
    <w:rsid w:val="004D7207"/>
  </w:style>
  <w:style w:type="paragraph" w:styleId="Header">
    <w:name w:val="header"/>
    <w:basedOn w:val="Normal"/>
    <w:link w:val="HeaderChar"/>
    <w:uiPriority w:val="99"/>
    <w:unhideWhenUsed/>
    <w:rsid w:val="004D7207"/>
    <w:pPr>
      <w:tabs>
        <w:tab w:val="center" w:pos="4680"/>
        <w:tab w:val="right" w:pos="9360"/>
      </w:tabs>
    </w:pPr>
  </w:style>
  <w:style w:type="character" w:customStyle="1" w:styleId="HeaderChar">
    <w:name w:val="Header Char"/>
    <w:basedOn w:val="DefaultParagraphFont"/>
    <w:link w:val="Header"/>
    <w:uiPriority w:val="99"/>
    <w:rsid w:val="004D7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107253">
      <w:bodyDiv w:val="1"/>
      <w:marLeft w:val="0"/>
      <w:marRight w:val="0"/>
      <w:marTop w:val="0"/>
      <w:marBottom w:val="0"/>
      <w:divBdr>
        <w:top w:val="none" w:sz="0" w:space="0" w:color="auto"/>
        <w:left w:val="none" w:sz="0" w:space="0" w:color="auto"/>
        <w:bottom w:val="none" w:sz="0" w:space="0" w:color="auto"/>
        <w:right w:val="none" w:sz="0" w:space="0" w:color="auto"/>
      </w:divBdr>
    </w:div>
    <w:div w:id="206884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hyperlink" Target="https://public.tableau.com/app/profile/niki.kalmus4294/viz/PERIOD_POVERTY_All_Updates_AUG3_15965554096230/Introductio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lobalcitizen.org/en/content/wins-for-menstrual-equity-in-2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hyperlink" Target="https://www.canada.ca/en/revenueagency/services/childfamily-benefits/child-disability-benefit.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4420</Words>
  <Characters>25200</Characters>
  <Application>Microsoft Office Word</Application>
  <DocSecurity>0</DocSecurity>
  <Lines>210</Lines>
  <Paragraphs>59</Paragraphs>
  <ScaleCrop>false</ScaleCrop>
  <Company/>
  <LinksUpToDate>false</LinksUpToDate>
  <CharactersWithSpaces>29561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Baptist-Mohseni</dc:creator>
  <cp:keywords/>
  <dc:description/>
  <cp:lastModifiedBy>Natasha Baptist-Mohseni</cp:lastModifiedBy>
  <cp:revision>3</cp:revision>
  <dcterms:created xsi:type="dcterms:W3CDTF">2024-05-18T01:26:00Z</dcterms:created>
  <dcterms:modified xsi:type="dcterms:W3CDTF">2024-05-18T01:31:00Z</dcterms:modified>
</cp:coreProperties>
</file>