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D9589" w14:textId="77777777" w:rsidR="00B10474" w:rsidRDefault="00B10474" w:rsidP="00674A58">
      <w:pPr>
        <w:spacing w:line="480" w:lineRule="auto"/>
      </w:pPr>
    </w:p>
    <w:p w14:paraId="5C15E7C1" w14:textId="77777777" w:rsidR="009F63A0" w:rsidRPr="00674A58" w:rsidRDefault="009F63A0" w:rsidP="00674A58">
      <w:pPr>
        <w:spacing w:line="480" w:lineRule="auto"/>
      </w:pPr>
    </w:p>
    <w:p w14:paraId="7EC865C0" w14:textId="77777777" w:rsidR="00674A58" w:rsidRDefault="00674A58" w:rsidP="00674A58">
      <w:pPr>
        <w:spacing w:line="480" w:lineRule="auto"/>
      </w:pPr>
    </w:p>
    <w:p w14:paraId="77DD045D" w14:textId="77777777" w:rsidR="00674A58" w:rsidRDefault="00674A58" w:rsidP="00674A58">
      <w:pPr>
        <w:spacing w:line="480" w:lineRule="auto"/>
      </w:pPr>
    </w:p>
    <w:p w14:paraId="79D8457B" w14:textId="77777777" w:rsidR="00F64C66" w:rsidRPr="00674A58" w:rsidRDefault="00F64C66" w:rsidP="00674A58">
      <w:pPr>
        <w:spacing w:line="480" w:lineRule="auto"/>
      </w:pPr>
    </w:p>
    <w:p w14:paraId="2443D2F1" w14:textId="77777777" w:rsidR="00674A58" w:rsidRPr="00674A58" w:rsidRDefault="00674A58" w:rsidP="00674A58">
      <w:pPr>
        <w:spacing w:line="480" w:lineRule="auto"/>
      </w:pPr>
    </w:p>
    <w:p w14:paraId="77C71DB1" w14:textId="1894D4E6" w:rsidR="00674A58" w:rsidRDefault="00704FE1" w:rsidP="00494E7A">
      <w:pPr>
        <w:spacing w:line="360" w:lineRule="auto"/>
        <w:jc w:val="center"/>
        <w:rPr>
          <w:b/>
          <w:bCs/>
        </w:rPr>
      </w:pPr>
      <w:r w:rsidRPr="00704FE1">
        <w:rPr>
          <w:b/>
          <w:bCs/>
        </w:rPr>
        <w:t xml:space="preserve">Using Knowledge Visualization to Improve </w:t>
      </w:r>
      <w:r w:rsidR="00747DDA">
        <w:rPr>
          <w:b/>
          <w:bCs/>
        </w:rPr>
        <w:t xml:space="preserve">Health </w:t>
      </w:r>
      <w:r w:rsidR="00B000D3" w:rsidRPr="00704FE1">
        <w:rPr>
          <w:b/>
          <w:bCs/>
        </w:rPr>
        <w:t>Knowledge Translation</w:t>
      </w:r>
    </w:p>
    <w:p w14:paraId="7DE9375A" w14:textId="77777777" w:rsidR="009F63A0" w:rsidRDefault="009F63A0" w:rsidP="00494E7A">
      <w:pPr>
        <w:spacing w:line="360" w:lineRule="auto"/>
        <w:jc w:val="center"/>
        <w:rPr>
          <w:b/>
          <w:bCs/>
        </w:rPr>
      </w:pPr>
    </w:p>
    <w:p w14:paraId="75F31874" w14:textId="77777777" w:rsidR="009F63A0" w:rsidRDefault="009F63A0" w:rsidP="00494E7A">
      <w:pPr>
        <w:spacing w:line="360" w:lineRule="auto"/>
        <w:jc w:val="center"/>
        <w:rPr>
          <w:b/>
          <w:bCs/>
        </w:rPr>
      </w:pPr>
    </w:p>
    <w:p w14:paraId="303A0D5A" w14:textId="710119E5" w:rsidR="00674A58" w:rsidRDefault="00674A58" w:rsidP="00494E7A">
      <w:pPr>
        <w:spacing w:line="360" w:lineRule="auto"/>
        <w:jc w:val="center"/>
      </w:pPr>
      <w:r>
        <w:t>Michelle J. Blumberg</w:t>
      </w:r>
    </w:p>
    <w:p w14:paraId="31DA9FE8" w14:textId="74604BA2" w:rsidR="00674A58" w:rsidRDefault="00674A58" w:rsidP="00494E7A">
      <w:pPr>
        <w:spacing w:line="360" w:lineRule="auto"/>
        <w:jc w:val="center"/>
      </w:pPr>
      <w:r>
        <w:t>Department of Psychology, York University</w:t>
      </w:r>
    </w:p>
    <w:p w14:paraId="6B79C021" w14:textId="5022EF10" w:rsidR="00674A58" w:rsidRDefault="00674A58" w:rsidP="00494E7A">
      <w:pPr>
        <w:spacing w:line="360" w:lineRule="auto"/>
        <w:jc w:val="center"/>
      </w:pPr>
      <w:r>
        <w:t>PSYC 6135: Psychology of Data Visualization</w:t>
      </w:r>
    </w:p>
    <w:p w14:paraId="3C515F84" w14:textId="3C5F9E28" w:rsidR="009F63A0" w:rsidRDefault="009F63A0" w:rsidP="00494E7A">
      <w:pPr>
        <w:spacing w:line="360" w:lineRule="auto"/>
        <w:jc w:val="center"/>
      </w:pPr>
      <w:r>
        <w:t>Dr. Michael Friendly</w:t>
      </w:r>
    </w:p>
    <w:p w14:paraId="613F9BBF" w14:textId="3C1E489F" w:rsidR="00674A58" w:rsidRDefault="00674A58" w:rsidP="00494E7A">
      <w:pPr>
        <w:spacing w:line="360" w:lineRule="auto"/>
        <w:jc w:val="center"/>
      </w:pPr>
      <w:r w:rsidRPr="00623071">
        <w:t xml:space="preserve">April </w:t>
      </w:r>
      <w:r w:rsidR="00623071" w:rsidRPr="00623071">
        <w:t>15</w:t>
      </w:r>
      <w:r w:rsidRPr="00623071">
        <w:t>, 2024</w:t>
      </w:r>
    </w:p>
    <w:p w14:paraId="70CD1C66" w14:textId="77777777" w:rsidR="00674A58" w:rsidRDefault="00674A58" w:rsidP="00674A58">
      <w:pPr>
        <w:spacing w:line="480" w:lineRule="auto"/>
        <w:jc w:val="center"/>
      </w:pPr>
    </w:p>
    <w:p w14:paraId="058EE8E8" w14:textId="77777777" w:rsidR="00674A58" w:rsidRDefault="00674A58" w:rsidP="00674A58">
      <w:pPr>
        <w:spacing w:line="480" w:lineRule="auto"/>
        <w:jc w:val="center"/>
      </w:pPr>
    </w:p>
    <w:p w14:paraId="7CB0F11A" w14:textId="77777777" w:rsidR="00674A58" w:rsidRDefault="00674A58" w:rsidP="00674A58">
      <w:pPr>
        <w:spacing w:line="480" w:lineRule="auto"/>
        <w:jc w:val="center"/>
      </w:pPr>
    </w:p>
    <w:p w14:paraId="4B9F6AC7" w14:textId="77777777" w:rsidR="00674A58" w:rsidRDefault="00674A58" w:rsidP="00674A58">
      <w:pPr>
        <w:spacing w:line="480" w:lineRule="auto"/>
        <w:jc w:val="center"/>
      </w:pPr>
    </w:p>
    <w:p w14:paraId="74CED3CF" w14:textId="77777777" w:rsidR="00674A58" w:rsidRDefault="00674A58" w:rsidP="00674A58">
      <w:pPr>
        <w:spacing w:line="480" w:lineRule="auto"/>
        <w:jc w:val="center"/>
      </w:pPr>
    </w:p>
    <w:p w14:paraId="54B2C33D" w14:textId="77777777" w:rsidR="00674A58" w:rsidRDefault="00674A58" w:rsidP="00674A58">
      <w:pPr>
        <w:spacing w:line="480" w:lineRule="auto"/>
        <w:jc w:val="center"/>
      </w:pPr>
    </w:p>
    <w:p w14:paraId="6DE9D906" w14:textId="77777777" w:rsidR="00F64C66" w:rsidRDefault="00F64C66" w:rsidP="00DE7183">
      <w:pPr>
        <w:spacing w:line="480" w:lineRule="auto"/>
      </w:pPr>
    </w:p>
    <w:p w14:paraId="69AF35B1" w14:textId="77777777" w:rsidR="009F63A0" w:rsidRDefault="009F63A0" w:rsidP="00DE7183">
      <w:pPr>
        <w:spacing w:line="480" w:lineRule="auto"/>
      </w:pPr>
    </w:p>
    <w:p w14:paraId="639F4CDC" w14:textId="77777777" w:rsidR="00494E7A" w:rsidRDefault="00494E7A" w:rsidP="00DE7183">
      <w:pPr>
        <w:spacing w:line="480" w:lineRule="auto"/>
      </w:pPr>
    </w:p>
    <w:p w14:paraId="4FCCDA75" w14:textId="77777777" w:rsidR="00494E7A" w:rsidRDefault="00494E7A" w:rsidP="00DE7183">
      <w:pPr>
        <w:spacing w:line="480" w:lineRule="auto"/>
      </w:pPr>
    </w:p>
    <w:p w14:paraId="7BF101DE" w14:textId="77777777" w:rsidR="00DE7183" w:rsidRDefault="00DE7183" w:rsidP="00DE7183">
      <w:pPr>
        <w:spacing w:line="480" w:lineRule="auto"/>
      </w:pPr>
    </w:p>
    <w:p w14:paraId="5091BA4C" w14:textId="542DA05F" w:rsidR="00704FE1" w:rsidRDefault="00704FE1" w:rsidP="00704FE1">
      <w:pPr>
        <w:spacing w:line="480" w:lineRule="auto"/>
        <w:jc w:val="center"/>
        <w:rPr>
          <w:b/>
          <w:bCs/>
        </w:rPr>
      </w:pPr>
      <w:r w:rsidRPr="00704FE1">
        <w:rPr>
          <w:b/>
          <w:bCs/>
        </w:rPr>
        <w:lastRenderedPageBreak/>
        <w:t xml:space="preserve">Using Knowledge Visualization to Improve Health Knowledge Translation </w:t>
      </w:r>
    </w:p>
    <w:p w14:paraId="6C85095D" w14:textId="47AE1F94" w:rsidR="00DE7183" w:rsidRDefault="0098058E" w:rsidP="00903A8B">
      <w:pPr>
        <w:spacing w:line="276" w:lineRule="auto"/>
        <w:ind w:firstLine="720"/>
      </w:pPr>
      <w:r w:rsidRPr="00F52673">
        <w:t xml:space="preserve">In this new age of misinformation, accurate and effective communication of health </w:t>
      </w:r>
      <w:r w:rsidR="00DE7183">
        <w:t>information</w:t>
      </w:r>
      <w:r w:rsidRPr="00F52673">
        <w:t xml:space="preserve"> is crucial.</w:t>
      </w:r>
      <w:r w:rsidR="006B1ED6">
        <w:t xml:space="preserve"> Over the last two decades, individuals have been increasingly using social media to seek and share health information </w:t>
      </w:r>
      <w:r w:rsidR="00642A8A">
        <w:rPr>
          <w:noProof/>
        </w:rPr>
        <w:t>(Chou et al., 2018)</w:t>
      </w:r>
      <w:r w:rsidR="006B1ED6">
        <w:t xml:space="preserve">. Social media platforms have gained </w:t>
      </w:r>
      <w:r w:rsidR="006D52F3">
        <w:t>broad</w:t>
      </w:r>
      <w:r w:rsidR="006B1ED6">
        <w:t xml:space="preserve"> participation among health information consumers from all social groups</w:t>
      </w:r>
      <w:r w:rsidR="00642A8A">
        <w:t xml:space="preserve"> </w:t>
      </w:r>
      <w:r w:rsidR="00642A8A">
        <w:rPr>
          <w:noProof/>
        </w:rPr>
        <w:t>(Xiong &amp; Liu, 2014)</w:t>
      </w:r>
      <w:r w:rsidR="006B1ED6">
        <w:t xml:space="preserve">. </w:t>
      </w:r>
      <w:r w:rsidR="00432168">
        <w:t>H</w:t>
      </w:r>
      <w:r w:rsidR="006B1ED6">
        <w:t>ealth researchers, professionals, and organizations are also using this medium to disseminate health-related knowledge as it represents a</w:t>
      </w:r>
      <w:r w:rsidR="00E437A9">
        <w:t xml:space="preserve"> new and efficient </w:t>
      </w:r>
      <w:r w:rsidR="006B1ED6">
        <w:t>opportunity to increase health literacy</w:t>
      </w:r>
      <w:r w:rsidR="006D52F3">
        <w:t xml:space="preserve"> </w:t>
      </w:r>
      <w:r w:rsidR="00642A8A">
        <w:rPr>
          <w:noProof/>
        </w:rPr>
        <w:t>(Funk et al., 2009; Kim et al., 2014)</w:t>
      </w:r>
      <w:r w:rsidR="006B1ED6">
        <w:t xml:space="preserve">. However, </w:t>
      </w:r>
      <w:proofErr w:type="gramStart"/>
      <w:r w:rsidR="006B1ED6">
        <w:t>false</w:t>
      </w:r>
      <w:proofErr w:type="gramEnd"/>
      <w:r w:rsidR="00D312F9">
        <w:t xml:space="preserve"> or </w:t>
      </w:r>
      <w:r w:rsidR="006B1ED6">
        <w:t>misleading health information may spread more easily than scientific knowledge</w:t>
      </w:r>
      <w:r w:rsidR="00642A8A">
        <w:t xml:space="preserve"> </w:t>
      </w:r>
      <w:r w:rsidR="00642A8A">
        <w:rPr>
          <w:noProof/>
        </w:rPr>
        <w:t>(Levy &amp; Strombeck, 2002; Vosoughi et al., 2018)</w:t>
      </w:r>
      <w:r w:rsidR="006B1ED6">
        <w:t xml:space="preserve">. </w:t>
      </w:r>
      <w:r w:rsidR="00DE7183">
        <w:t>Furthermore, a</w:t>
      </w:r>
      <w:r w:rsidR="006B1ED6">
        <w:t xml:space="preserve"> systematic review of 69 studies </w:t>
      </w:r>
      <w:r w:rsidR="00E437A9">
        <w:t>revealed</w:t>
      </w:r>
      <w:r w:rsidR="006B1ED6">
        <w:t xml:space="preserve"> that </w:t>
      </w:r>
      <w:r w:rsidR="00A26DAC">
        <w:t xml:space="preserve">dominant </w:t>
      </w:r>
      <w:r w:rsidR="006D52F3">
        <w:t xml:space="preserve">health misinformation </w:t>
      </w:r>
      <w:r w:rsidR="00A26DAC">
        <w:t xml:space="preserve">topics </w:t>
      </w:r>
      <w:r w:rsidR="00D312F9">
        <w:t xml:space="preserve">were </w:t>
      </w:r>
      <w:r w:rsidR="006D52F3">
        <w:t xml:space="preserve">related to smoking products and </w:t>
      </w:r>
      <w:r w:rsidR="00DE7183">
        <w:t>drugs</w:t>
      </w:r>
      <w:r w:rsidR="006D52F3">
        <w:t xml:space="preserve">, and major public health issues, such as vaccine </w:t>
      </w:r>
      <w:r w:rsidR="00E437A9">
        <w:t>hesitancy</w:t>
      </w:r>
      <w:r w:rsidR="00642A8A">
        <w:t xml:space="preserve"> </w:t>
      </w:r>
      <w:r w:rsidR="00642A8A">
        <w:rPr>
          <w:noProof/>
        </w:rPr>
        <w:t>(Suarez-Lledo &amp; Alvarez-Galvez, 2021)</w:t>
      </w:r>
      <w:r w:rsidR="006D52F3">
        <w:t xml:space="preserve">. </w:t>
      </w:r>
      <w:r w:rsidR="00A26DAC">
        <w:t xml:space="preserve">Thus, it is </w:t>
      </w:r>
      <w:r w:rsidR="00DE7183">
        <w:t>crucial to employ the latest strategies</w:t>
      </w:r>
      <w:r w:rsidR="00A26DAC">
        <w:t xml:space="preserve"> </w:t>
      </w:r>
      <w:r w:rsidR="00DE7183">
        <w:t xml:space="preserve">for disseminating evidence-based scientific knowledge </w:t>
      </w:r>
      <w:r w:rsidR="001D5E6B">
        <w:t xml:space="preserve">effectively </w:t>
      </w:r>
      <w:r w:rsidR="00DE7183">
        <w:t>across the internet and via the most widely utilized social media platforms.</w:t>
      </w:r>
    </w:p>
    <w:p w14:paraId="7974BE07" w14:textId="77777777" w:rsidR="00903A8B" w:rsidRDefault="00903A8B" w:rsidP="00903A8B">
      <w:pPr>
        <w:spacing w:line="276" w:lineRule="auto"/>
        <w:ind w:firstLine="720"/>
      </w:pPr>
    </w:p>
    <w:p w14:paraId="7D2BF276" w14:textId="43298399" w:rsidR="004F7E92" w:rsidRDefault="0098058E" w:rsidP="00903A8B">
      <w:pPr>
        <w:spacing w:line="276" w:lineRule="auto"/>
        <w:ind w:firstLine="720"/>
      </w:pPr>
      <w:r w:rsidRPr="00F52673">
        <w:t xml:space="preserve">Knowledge </w:t>
      </w:r>
      <w:r w:rsidR="001D5E6B">
        <w:t>translation</w:t>
      </w:r>
      <w:r w:rsidRPr="00F52673">
        <w:t xml:space="preserve"> (K</w:t>
      </w:r>
      <w:r w:rsidR="001D5E6B">
        <w:t>T</w:t>
      </w:r>
      <w:r w:rsidRPr="00F52673">
        <w:t xml:space="preserve">) is becoming an increasingly important </w:t>
      </w:r>
      <w:r w:rsidR="001D5E6B">
        <w:t>method for</w:t>
      </w:r>
      <w:r w:rsidRPr="00F52673">
        <w:t xml:space="preserve"> communicat</w:t>
      </w:r>
      <w:r w:rsidR="001D5E6B">
        <w:t xml:space="preserve">ing </w:t>
      </w:r>
      <w:r w:rsidR="00D8248D">
        <w:t xml:space="preserve">health-related research findings </w:t>
      </w:r>
      <w:r w:rsidRPr="00F52673">
        <w:t xml:space="preserve">to </w:t>
      </w:r>
      <w:r w:rsidR="001D5E6B">
        <w:t>broader public audiences</w:t>
      </w:r>
      <w:r w:rsidRPr="00F52673">
        <w:t xml:space="preserve">. </w:t>
      </w:r>
      <w:r w:rsidR="001D5E6B">
        <w:t xml:space="preserve">More specifically, </w:t>
      </w:r>
      <w:r w:rsidRPr="00F52673">
        <w:t>K</w:t>
      </w:r>
      <w:r w:rsidR="001D5E6B">
        <w:t xml:space="preserve">T serves as a valuable tool for bridging communication gaps between researchers and the public. </w:t>
      </w:r>
      <w:r w:rsidRPr="00F52673">
        <w:t xml:space="preserve">However, research </w:t>
      </w:r>
      <w:r w:rsidR="00F52673" w:rsidRPr="00F52673">
        <w:t xml:space="preserve">in the areas of healthcare services suggests that researchers often fail to translate their findings into practice and policy. Consequently, target stakeholders, such as </w:t>
      </w:r>
      <w:r w:rsidR="004F6C25">
        <w:t>individuals</w:t>
      </w:r>
      <w:r w:rsidR="00F52673" w:rsidRPr="00F52673">
        <w:t xml:space="preserve"> receiving health</w:t>
      </w:r>
      <w:r w:rsidR="002A3D85">
        <w:t xml:space="preserve"> </w:t>
      </w:r>
      <w:r w:rsidR="00F52673" w:rsidRPr="00F52673">
        <w:t>services, may fail to benefit optimally from advances in healt</w:t>
      </w:r>
      <w:r w:rsidR="002A3D85">
        <w:t>h</w:t>
      </w:r>
      <w:r w:rsidR="00F52673" w:rsidRPr="00F52673">
        <w:t xml:space="preserve"> research</w:t>
      </w:r>
      <w:r w:rsidR="00C26C3D">
        <w:t xml:space="preserve"> </w:t>
      </w:r>
      <w:r w:rsidR="00C26C3D">
        <w:rPr>
          <w:noProof/>
        </w:rPr>
        <w:t>(Grimshaw et al., 2012)</w:t>
      </w:r>
      <w:r w:rsidR="00F52673" w:rsidRPr="00F52673">
        <w:t>.</w:t>
      </w:r>
      <w:r w:rsidR="00AE1A56">
        <w:t xml:space="preserve"> </w:t>
      </w:r>
      <w:r w:rsidR="000B66CE">
        <w:t>KT continues to be a field that is understudied and underappreciated in its potential for disseminating health</w:t>
      </w:r>
      <w:r w:rsidR="002A3D85">
        <w:t xml:space="preserve">-related </w:t>
      </w:r>
      <w:r w:rsidR="000B66CE">
        <w:t xml:space="preserve">research findings. </w:t>
      </w:r>
      <w:r w:rsidR="00D8248D">
        <w:t>Accordingly, d</w:t>
      </w:r>
      <w:r w:rsidR="000B66CE">
        <w:t xml:space="preserve">iscerning the strategies that can enhance the effectiveness of KT </w:t>
      </w:r>
      <w:r w:rsidR="00D8248D">
        <w:t>is of utmost importance.</w:t>
      </w:r>
    </w:p>
    <w:p w14:paraId="52E7078C" w14:textId="77777777" w:rsidR="00903A8B" w:rsidRDefault="00903A8B" w:rsidP="00903A8B">
      <w:pPr>
        <w:spacing w:line="276" w:lineRule="auto"/>
        <w:rPr>
          <w:b/>
          <w:bCs/>
        </w:rPr>
      </w:pPr>
    </w:p>
    <w:p w14:paraId="0D5BD981" w14:textId="0EAB0B8E" w:rsidR="00AE1A56" w:rsidRDefault="00AE1A56" w:rsidP="00903A8B">
      <w:pPr>
        <w:spacing w:line="276" w:lineRule="auto"/>
        <w:rPr>
          <w:b/>
          <w:bCs/>
        </w:rPr>
      </w:pPr>
      <w:r>
        <w:rPr>
          <w:b/>
          <w:bCs/>
        </w:rPr>
        <w:t>Key Concepts</w:t>
      </w:r>
      <w:r w:rsidR="008A6941">
        <w:rPr>
          <w:b/>
          <w:bCs/>
        </w:rPr>
        <w:t xml:space="preserve"> </w:t>
      </w:r>
    </w:p>
    <w:p w14:paraId="6B2A077B" w14:textId="77777777" w:rsidR="00903A8B" w:rsidRDefault="00903A8B" w:rsidP="00903A8B">
      <w:pPr>
        <w:spacing w:line="276" w:lineRule="auto"/>
        <w:rPr>
          <w:b/>
          <w:bCs/>
        </w:rPr>
      </w:pPr>
    </w:p>
    <w:p w14:paraId="3F0FDAB4" w14:textId="756E4196" w:rsidR="0066602C" w:rsidRDefault="00C957E6" w:rsidP="00903A8B">
      <w:pPr>
        <w:spacing w:line="276" w:lineRule="auto"/>
      </w:pPr>
      <w:r>
        <w:tab/>
        <w:t xml:space="preserve">Across </w:t>
      </w:r>
      <w:r w:rsidR="00413F12">
        <w:t>various</w:t>
      </w:r>
      <w:r>
        <w:t xml:space="preserve"> scientific disciplines, different terms have described efforts to </w:t>
      </w:r>
      <w:r w:rsidR="00280270">
        <w:t xml:space="preserve">share evidence-based health </w:t>
      </w:r>
      <w:r w:rsidR="002F55A3">
        <w:t>information</w:t>
      </w:r>
      <w:r w:rsidR="00280270">
        <w:t xml:space="preserve"> </w:t>
      </w:r>
      <w:r w:rsidR="002F55A3">
        <w:t>publicly</w:t>
      </w:r>
      <w:r w:rsidR="00432168">
        <w:t xml:space="preserve">. </w:t>
      </w:r>
      <w:r w:rsidR="00413F12">
        <w:t xml:space="preserve">These terms include </w:t>
      </w:r>
      <w:r>
        <w:t xml:space="preserve">knowledge mobilization or translation, </w:t>
      </w:r>
      <w:r w:rsidR="00280270">
        <w:t xml:space="preserve">quality assurance, </w:t>
      </w:r>
      <w:r>
        <w:t>knowledge utilization, knowledge transfer and exchange, innovation diffusion, and implementation research</w:t>
      </w:r>
      <w:r w:rsidR="00C26C3D">
        <w:t xml:space="preserve"> </w:t>
      </w:r>
      <w:r w:rsidR="00C26C3D" w:rsidRPr="00704FE1">
        <w:rPr>
          <w:noProof/>
        </w:rPr>
        <w:t>(McKibbon et al., 2010; Tetroe et al., 2008)</w:t>
      </w:r>
      <w:r w:rsidRPr="00704FE1">
        <w:t xml:space="preserve">. </w:t>
      </w:r>
      <w:r>
        <w:t xml:space="preserve">The terms </w:t>
      </w:r>
      <w:r w:rsidRPr="00432168">
        <w:t xml:space="preserve">knowledge translation </w:t>
      </w:r>
      <w:r w:rsidR="00432168" w:rsidRPr="00432168">
        <w:t xml:space="preserve">or </w:t>
      </w:r>
      <w:r w:rsidRPr="00432168">
        <w:t>mobilization</w:t>
      </w:r>
      <w:r w:rsidR="00280270">
        <w:t>, often used interchangeably,</w:t>
      </w:r>
      <w:r>
        <w:t xml:space="preserve"> have gained traction in Canada and globally over the last decade</w:t>
      </w:r>
      <w:r w:rsidR="00372C5B">
        <w:t xml:space="preserve"> (Grimshaw et al., 2012)</w:t>
      </w:r>
      <w:r>
        <w:t>.</w:t>
      </w:r>
      <w:r w:rsidR="004F7E92">
        <w:t xml:space="preserve"> </w:t>
      </w:r>
      <w:r w:rsidR="00AE1A56">
        <w:t>K</w:t>
      </w:r>
      <w:r w:rsidR="00413F12">
        <w:t>T</w:t>
      </w:r>
      <w:r w:rsidR="00AE1A56">
        <w:t xml:space="preserve"> is an umbrella term encompassing a wide range of activities relat</w:t>
      </w:r>
      <w:r w:rsidR="00432168">
        <w:t xml:space="preserve">ed </w:t>
      </w:r>
      <w:r w:rsidR="00AE1A56">
        <w:t xml:space="preserve">to the production and use of research results, including knowledge synthesis, dissemination, transfer, exchange, and co-creation by researchers and knowledge </w:t>
      </w:r>
      <w:r w:rsidR="00AE1A56" w:rsidRPr="00CF134B">
        <w:t>users (</w:t>
      </w:r>
      <w:r w:rsidR="002F55A3" w:rsidRPr="00CF134B">
        <w:t>Levin</w:t>
      </w:r>
      <w:r w:rsidR="002065FC">
        <w:t>,</w:t>
      </w:r>
      <w:r w:rsidR="002F55A3" w:rsidRPr="00CF134B">
        <w:t xml:space="preserve"> 20</w:t>
      </w:r>
      <w:r w:rsidR="00C26C3D" w:rsidRPr="00CF134B">
        <w:t>08</w:t>
      </w:r>
      <w:r w:rsidR="002F55A3" w:rsidRPr="00CF134B">
        <w:t xml:space="preserve">; </w:t>
      </w:r>
      <w:r w:rsidR="00432168" w:rsidRPr="00CF134B">
        <w:t>Social Sciences and Humanities Research Council, 2023</w:t>
      </w:r>
      <w:r w:rsidR="00AE1A56" w:rsidRPr="00CF134B">
        <w:t xml:space="preserve">). </w:t>
      </w:r>
      <w:r w:rsidR="00413F12" w:rsidRPr="00CF134B">
        <w:t>The</w:t>
      </w:r>
      <w:r w:rsidR="00413F12">
        <w:t xml:space="preserve"> definition of KT recognizes that there are a wide range of stakeholders or target audiences for </w:t>
      </w:r>
      <w:r w:rsidR="004F7E92">
        <w:t>K</w:t>
      </w:r>
      <w:r w:rsidR="00413F12">
        <w:t xml:space="preserve">T, including policy makers, professionals (i.e., </w:t>
      </w:r>
      <w:r w:rsidR="00432168">
        <w:t xml:space="preserve">healthcare </w:t>
      </w:r>
      <w:r w:rsidR="00413F12">
        <w:t>practitioners), consumers (i.e., general public, parents, family members), researchers, and industry</w:t>
      </w:r>
      <w:r w:rsidR="00CF134B">
        <w:t xml:space="preserve"> </w:t>
      </w:r>
      <w:r w:rsidR="00CF134B">
        <w:rPr>
          <w:noProof/>
        </w:rPr>
        <w:t>(Grimshaw et al., 2012)</w:t>
      </w:r>
      <w:r w:rsidR="00CF134B">
        <w:t>.</w:t>
      </w:r>
    </w:p>
    <w:p w14:paraId="1BE7065A" w14:textId="006F88C9" w:rsidR="00261D53" w:rsidRDefault="00AE1A56" w:rsidP="00903A8B">
      <w:pPr>
        <w:spacing w:line="276" w:lineRule="auto"/>
        <w:ind w:firstLine="720"/>
      </w:pPr>
      <w:r w:rsidRPr="000F48EC">
        <w:lastRenderedPageBreak/>
        <w:t>Knowledge visualization (KV),</w:t>
      </w:r>
      <w:r>
        <w:t xml:space="preserve"> a key component of K</w:t>
      </w:r>
      <w:r w:rsidR="0066602C">
        <w:t>T</w:t>
      </w:r>
      <w:r>
        <w:t>, is a field of research that focuses on the creation and transfer of knowledge through the use of vis</w:t>
      </w:r>
      <w:r w:rsidR="004B0A12">
        <w:t xml:space="preserve">ualizations </w:t>
      </w:r>
      <w:r>
        <w:t xml:space="preserve">to support and facilitate communication between </w:t>
      </w:r>
      <w:r w:rsidR="005F093E">
        <w:t xml:space="preserve">researchers </w:t>
      </w:r>
      <w:r>
        <w:t xml:space="preserve">and </w:t>
      </w:r>
      <w:r w:rsidR="005F093E">
        <w:t xml:space="preserve">relevant </w:t>
      </w:r>
      <w:r w:rsidR="005F093E" w:rsidRPr="00B537B2">
        <w:t>stakeholders</w:t>
      </w:r>
      <w:r w:rsidRPr="00B537B2">
        <w:t xml:space="preserve"> </w:t>
      </w:r>
      <w:r w:rsidR="00CF134B" w:rsidRPr="00B537B2">
        <w:rPr>
          <w:noProof/>
        </w:rPr>
        <w:t>(Burkhard, 2005; Meyer, 2010)</w:t>
      </w:r>
      <w:r w:rsidRPr="00B537B2">
        <w:t xml:space="preserve">. </w:t>
      </w:r>
      <w:r w:rsidR="00C957E6" w:rsidRPr="00B537B2">
        <w:t>Using mainly text and numbers to communicate research findings, without complementary visualizations, is unlikely to meet the requirements of</w:t>
      </w:r>
      <w:r w:rsidR="00C957E6">
        <w:t xml:space="preserve"> our modern </w:t>
      </w:r>
      <w:r w:rsidR="006C3014">
        <w:t xml:space="preserve">technology- and </w:t>
      </w:r>
      <w:r w:rsidR="00C957E6">
        <w:t>knowledge-driven society (Meyer, 2010). In contrast, visual methods provide a powerful medium to contextualize text and numbers</w:t>
      </w:r>
      <w:r w:rsidR="00B537B2">
        <w:t xml:space="preserve"> </w:t>
      </w:r>
      <w:r w:rsidR="00B537B2">
        <w:rPr>
          <w:noProof/>
        </w:rPr>
        <w:t>(Gavrilova et al., 2017)</w:t>
      </w:r>
      <w:r w:rsidR="00C957E6">
        <w:t xml:space="preserve">. </w:t>
      </w:r>
      <w:r w:rsidR="00706448">
        <w:t>Across healthcare sectors, t</w:t>
      </w:r>
      <w:r w:rsidR="00261D53">
        <w:t xml:space="preserve">he primary objective of </w:t>
      </w:r>
      <w:r w:rsidR="00706448">
        <w:t>KV</w:t>
      </w:r>
      <w:r w:rsidR="00261D53">
        <w:t xml:space="preserve"> is to simplify complex data to make them user-friendly so that different stakeholders (e.g., healthcare providers and public audiences) can easily interpret </w:t>
      </w:r>
      <w:r w:rsidR="00706448">
        <w:t xml:space="preserve">and benefit from </w:t>
      </w:r>
      <w:r w:rsidR="00261D53">
        <w:t>them. Benefits of adopting visualization techniques</w:t>
      </w:r>
      <w:r w:rsidR="00467677">
        <w:t xml:space="preserve"> for KT</w:t>
      </w:r>
      <w:r w:rsidR="00261D53">
        <w:t xml:space="preserve"> include improving overall patient care, understanding disease </w:t>
      </w:r>
      <w:r w:rsidR="00261D53" w:rsidRPr="00467677">
        <w:t>trends</w:t>
      </w:r>
      <w:r w:rsidR="00D8248D" w:rsidRPr="00467677">
        <w:t xml:space="preserve">, </w:t>
      </w:r>
      <w:r w:rsidR="00467677" w:rsidRPr="00467677">
        <w:t xml:space="preserve">and </w:t>
      </w:r>
      <w:r w:rsidR="00D8248D" w:rsidRPr="00467677">
        <w:t xml:space="preserve">minimizing misinformation by </w:t>
      </w:r>
      <w:r w:rsidR="00706448" w:rsidRPr="00467677">
        <w:t>disseminating</w:t>
      </w:r>
      <w:r w:rsidR="00D8248D" w:rsidRPr="00467677">
        <w:t xml:space="preserve"> accurate </w:t>
      </w:r>
      <w:r w:rsidR="00706448" w:rsidRPr="00467677">
        <w:t>he</w:t>
      </w:r>
      <w:r w:rsidR="00706448">
        <w:t>alth information</w:t>
      </w:r>
      <w:r w:rsidR="002018BE">
        <w:t xml:space="preserve"> </w:t>
      </w:r>
      <w:r w:rsidR="002018BE">
        <w:rPr>
          <w:noProof/>
        </w:rPr>
        <w:t>(Abudiyab &amp; Alanazi, 2022)</w:t>
      </w:r>
      <w:r w:rsidR="00706448">
        <w:t>.</w:t>
      </w:r>
    </w:p>
    <w:p w14:paraId="7FF39ADB" w14:textId="77777777" w:rsidR="00903A8B" w:rsidRDefault="00903A8B" w:rsidP="00903A8B">
      <w:pPr>
        <w:spacing w:line="276" w:lineRule="auto"/>
        <w:rPr>
          <w:b/>
          <w:bCs/>
        </w:rPr>
      </w:pPr>
    </w:p>
    <w:p w14:paraId="2CEE2E1A" w14:textId="2DCACE49" w:rsidR="008A6941" w:rsidRDefault="00E46ACF" w:rsidP="00903A8B">
      <w:pPr>
        <w:spacing w:line="276" w:lineRule="auto"/>
        <w:rPr>
          <w:b/>
          <w:bCs/>
        </w:rPr>
      </w:pPr>
      <w:r>
        <w:rPr>
          <w:b/>
          <w:bCs/>
        </w:rPr>
        <w:t xml:space="preserve">Design </w:t>
      </w:r>
      <w:r w:rsidR="006C3014">
        <w:rPr>
          <w:b/>
          <w:bCs/>
        </w:rPr>
        <w:t xml:space="preserve">Criteria </w:t>
      </w:r>
      <w:r>
        <w:rPr>
          <w:b/>
          <w:bCs/>
        </w:rPr>
        <w:t>for Knowledge</w:t>
      </w:r>
      <w:r w:rsidR="006C3014">
        <w:rPr>
          <w:b/>
          <w:bCs/>
        </w:rPr>
        <w:t xml:space="preserve"> Visualizations</w:t>
      </w:r>
      <w:r w:rsidR="003F0C78">
        <w:rPr>
          <w:b/>
          <w:bCs/>
        </w:rPr>
        <w:t xml:space="preserve"> </w:t>
      </w:r>
    </w:p>
    <w:p w14:paraId="7AA5DA36" w14:textId="77777777" w:rsidR="00903A8B" w:rsidRDefault="00903A8B" w:rsidP="00903A8B">
      <w:pPr>
        <w:spacing w:line="276" w:lineRule="auto"/>
        <w:rPr>
          <w:b/>
          <w:bCs/>
        </w:rPr>
      </w:pPr>
    </w:p>
    <w:p w14:paraId="5A1F1A25" w14:textId="4FABCCFC" w:rsidR="00343203" w:rsidRDefault="00343203" w:rsidP="00903A8B">
      <w:pPr>
        <w:spacing w:line="276" w:lineRule="auto"/>
      </w:pPr>
      <w:r>
        <w:rPr>
          <w:b/>
          <w:bCs/>
        </w:rPr>
        <w:tab/>
      </w:r>
      <w:r>
        <w:t xml:space="preserve">The process of </w:t>
      </w:r>
      <w:r w:rsidR="006C3014">
        <w:t>translating</w:t>
      </w:r>
      <w:r>
        <w:t xml:space="preserve"> knowledge is complex and susceptible to distortions, requiring a shared conceptual framework between the sender (i.e., the researcher) and the recipient (i.e., </w:t>
      </w:r>
      <w:r w:rsidR="00276C3A">
        <w:t xml:space="preserve">the </w:t>
      </w:r>
      <w:r>
        <w:t>general public)</w:t>
      </w:r>
      <w:r w:rsidR="00276C3A">
        <w:t xml:space="preserve"> </w:t>
      </w:r>
      <w:r w:rsidR="002018BE" w:rsidRPr="002018BE">
        <w:rPr>
          <w:lang w:val="en-US"/>
        </w:rPr>
        <w:t>(</w:t>
      </w:r>
      <w:proofErr w:type="spellStart"/>
      <w:r w:rsidR="002018BE" w:rsidRPr="002018BE">
        <w:rPr>
          <w:lang w:val="en-US"/>
        </w:rPr>
        <w:t>Opiła</w:t>
      </w:r>
      <w:proofErr w:type="spellEnd"/>
      <w:r w:rsidR="002018BE" w:rsidRPr="002018BE">
        <w:rPr>
          <w:lang w:val="en-US"/>
        </w:rPr>
        <w:t>, 2019)</w:t>
      </w:r>
      <w:r w:rsidR="00276C3A">
        <w:t>. For instance, a discussion o</w:t>
      </w:r>
      <w:r w:rsidR="004B5209">
        <w:t>f how vaccines work to increase the body’s immunity against pathogens</w:t>
      </w:r>
      <w:r w:rsidR="00276C3A">
        <w:t xml:space="preserve"> requires a shared knowledge of</w:t>
      </w:r>
      <w:r w:rsidR="004B5209">
        <w:t xml:space="preserve"> immunology,</w:t>
      </w:r>
      <w:r w:rsidR="00276C3A">
        <w:t xml:space="preserve"> biology, patterns of introduction into the organism, </w:t>
      </w:r>
      <w:r w:rsidR="00D34612">
        <w:t xml:space="preserve">and </w:t>
      </w:r>
      <w:r w:rsidR="00276C3A">
        <w:t>cellular mechanisms.</w:t>
      </w:r>
      <w:r w:rsidR="004B5209">
        <w:t xml:space="preserve"> Moreover, discussions of how vaccines promote population immunity requires a shared knowledge of immunology</w:t>
      </w:r>
      <w:r w:rsidR="00D34612">
        <w:t xml:space="preserve"> and epidemiology. </w:t>
      </w:r>
      <w:r w:rsidR="00276C3A">
        <w:t>Consequently, textual communication</w:t>
      </w:r>
      <w:r w:rsidR="00AA3E52">
        <w:t>s</w:t>
      </w:r>
      <w:r w:rsidR="00276C3A">
        <w:t xml:space="preserve"> of </w:t>
      </w:r>
      <w:r w:rsidR="00D34612">
        <w:t xml:space="preserve">complex health-related </w:t>
      </w:r>
      <w:r w:rsidR="00276C3A">
        <w:t xml:space="preserve">knowledge are </w:t>
      </w:r>
      <w:r w:rsidR="00D34612">
        <w:t>likely to be</w:t>
      </w:r>
      <w:r w:rsidR="00276C3A">
        <w:t xml:space="preserve"> </w:t>
      </w:r>
      <w:r w:rsidR="00276C3A" w:rsidRPr="00AA3E52">
        <w:t>ineffective</w:t>
      </w:r>
      <w:r w:rsidR="00276C3A">
        <w:t xml:space="preserve">. </w:t>
      </w:r>
      <w:r w:rsidR="00D34612">
        <w:t>Similarly</w:t>
      </w:r>
      <w:r w:rsidR="00276C3A">
        <w:t>, verbal communications may hinder the perception of research results if the receiver lacks the necessary prerequisite knowledge</w:t>
      </w:r>
      <w:r w:rsidR="006C3014">
        <w:t xml:space="preserve"> </w:t>
      </w:r>
      <w:r w:rsidR="006C3014" w:rsidRPr="00D34612">
        <w:t>to interpret scientific/research</w:t>
      </w:r>
      <w:r w:rsidR="006C3014">
        <w:t xml:space="preserve"> findings</w:t>
      </w:r>
      <w:r w:rsidR="00276C3A">
        <w:t xml:space="preserve">. </w:t>
      </w:r>
      <w:r w:rsidR="006C3014">
        <w:t>V</w:t>
      </w:r>
      <w:r w:rsidR="00276C3A">
        <w:t>isuals represent the most attractive, legible, and digestible manner to communicate knowledge, especially to large</w:t>
      </w:r>
      <w:r w:rsidR="00A4645F">
        <w:t>r</w:t>
      </w:r>
      <w:r w:rsidR="00276C3A">
        <w:t xml:space="preserve"> audiences. </w:t>
      </w:r>
    </w:p>
    <w:p w14:paraId="46B5F6AD" w14:textId="77777777" w:rsidR="00903A8B" w:rsidRDefault="00903A8B" w:rsidP="00903A8B">
      <w:pPr>
        <w:spacing w:line="276" w:lineRule="auto"/>
      </w:pPr>
    </w:p>
    <w:p w14:paraId="60175AEC" w14:textId="0A032091" w:rsidR="006F6826" w:rsidRDefault="00B34809" w:rsidP="00903A8B">
      <w:pPr>
        <w:spacing w:line="276" w:lineRule="auto"/>
      </w:pPr>
      <w:r>
        <w:tab/>
        <w:t xml:space="preserve">In order for KV to be effective, </w:t>
      </w:r>
      <w:r w:rsidR="00DB2E70">
        <w:t xml:space="preserve">graphics </w:t>
      </w:r>
      <w:r>
        <w:t xml:space="preserve">must meet certain visualization design criteria </w:t>
      </w:r>
      <w:r w:rsidR="002018BE" w:rsidRPr="002018BE">
        <w:rPr>
          <w:noProof/>
        </w:rPr>
        <w:t>(van Biljon &amp; Osei-Bryson, 2020)</w:t>
      </w:r>
      <w:r w:rsidRPr="002018BE">
        <w:t>. General KV criteria include trustworthiness, accessibility, and elegance (Kirk, 2016). Trustworthiness can be measured in terms of</w:t>
      </w:r>
      <w:r>
        <w:t xml:space="preserve"> integrity, accuracy, and legitimacy. Accessibility is measured in terms of usefulness and understandability, and elegance i</w:t>
      </w:r>
      <w:r w:rsidR="009E5CB0">
        <w:t>n</w:t>
      </w:r>
      <w:r>
        <w:t xml:space="preserve"> terms of aesthetics, balance, and parsimony (Kirk, 2016). Moreover, when using KV for K</w:t>
      </w:r>
      <w:r w:rsidR="00DB2E70">
        <w:t>T</w:t>
      </w:r>
      <w:r>
        <w:t>,  certain guidelines should be followed</w:t>
      </w:r>
      <w:r w:rsidR="00F70916">
        <w:t xml:space="preserve"> </w:t>
      </w:r>
      <w:r w:rsidR="00C47167">
        <w:rPr>
          <w:noProof/>
        </w:rPr>
        <w:t>(van Biljon &amp; Osei-Bryson, 2020)</w:t>
      </w:r>
      <w:r>
        <w:t>.</w:t>
      </w:r>
      <w:r w:rsidR="006F6826">
        <w:t xml:space="preserve"> These guidelines can be separated into two categories: content and format. The content of the visualization should capture the essence of the knowledge to be shared. The content should be appropriate for the target audience’s prior knowledge. The </w:t>
      </w:r>
      <w:r w:rsidR="006C3014">
        <w:t>c</w:t>
      </w:r>
      <w:r w:rsidR="006F6826">
        <w:t xml:space="preserve">ontent should also be presented without redundancy and without unnecessary decoration (i.e., all graphical elements should have a function). Moreover, ambiguity should be minimized and relationships between concepts should be clearly shown. </w:t>
      </w:r>
      <w:r w:rsidR="006C3014">
        <w:t xml:space="preserve">Table 1 summarizes content and format criteria </w:t>
      </w:r>
      <w:r w:rsidR="006C3014" w:rsidRPr="00DB2E70">
        <w:t xml:space="preserve">for </w:t>
      </w:r>
      <w:r w:rsidR="00DB2E70" w:rsidRPr="00DB2E70">
        <w:t>effective KV</w:t>
      </w:r>
      <w:r w:rsidR="00DB2E70">
        <w:t>.</w:t>
      </w:r>
    </w:p>
    <w:p w14:paraId="1F0646A5" w14:textId="77777777" w:rsidR="00903A8B" w:rsidRDefault="00903A8B" w:rsidP="00903A8B">
      <w:pPr>
        <w:spacing w:line="276" w:lineRule="auto"/>
        <w:rPr>
          <w:b/>
          <w:bCs/>
        </w:rPr>
      </w:pPr>
    </w:p>
    <w:p w14:paraId="42C966EA" w14:textId="4DC52416" w:rsidR="006F6826" w:rsidRDefault="006C3014" w:rsidP="00903A8B">
      <w:pPr>
        <w:spacing w:line="360" w:lineRule="auto"/>
        <w:rPr>
          <w:b/>
          <w:bCs/>
        </w:rPr>
      </w:pPr>
      <w:r>
        <w:rPr>
          <w:b/>
          <w:bCs/>
        </w:rPr>
        <w:lastRenderedPageBreak/>
        <w:t>Table 1</w:t>
      </w:r>
    </w:p>
    <w:p w14:paraId="370BDC4C" w14:textId="45E0A73C" w:rsidR="006C3014" w:rsidRPr="006C3014" w:rsidRDefault="006C3014" w:rsidP="00903A8B">
      <w:pPr>
        <w:spacing w:line="360" w:lineRule="auto"/>
        <w:rPr>
          <w:i/>
          <w:iCs/>
        </w:rPr>
      </w:pPr>
      <w:r>
        <w:rPr>
          <w:i/>
          <w:iCs/>
        </w:rPr>
        <w:t xml:space="preserve">Checklist for Visualization Content and Format </w:t>
      </w:r>
    </w:p>
    <w:tbl>
      <w:tblPr>
        <w:tblStyle w:val="TableGrid"/>
        <w:tblW w:w="9498" w:type="dxa"/>
        <w:tblLook w:val="04A0" w:firstRow="1" w:lastRow="0" w:firstColumn="1" w:lastColumn="0" w:noHBand="0" w:noVBand="1"/>
      </w:tblPr>
      <w:tblGrid>
        <w:gridCol w:w="2552"/>
        <w:gridCol w:w="6946"/>
      </w:tblGrid>
      <w:tr w:rsidR="006F6826" w14:paraId="729E41DB" w14:textId="77777777" w:rsidTr="006C3014">
        <w:tc>
          <w:tcPr>
            <w:tcW w:w="2552" w:type="dxa"/>
            <w:tcBorders>
              <w:top w:val="single" w:sz="12" w:space="0" w:color="auto"/>
              <w:left w:val="nil"/>
              <w:bottom w:val="single" w:sz="12" w:space="0" w:color="auto"/>
              <w:right w:val="nil"/>
            </w:tcBorders>
          </w:tcPr>
          <w:p w14:paraId="531C7050" w14:textId="70E57E9E" w:rsidR="006F6826" w:rsidRPr="00E50658" w:rsidRDefault="006F6826" w:rsidP="00903A8B">
            <w:pPr>
              <w:spacing w:line="276" w:lineRule="auto"/>
              <w:rPr>
                <w:b/>
                <w:bCs/>
                <w:sz w:val="22"/>
                <w:szCs w:val="22"/>
              </w:rPr>
            </w:pPr>
            <w:r w:rsidRPr="00E50658">
              <w:rPr>
                <w:b/>
                <w:bCs/>
                <w:sz w:val="22"/>
                <w:szCs w:val="22"/>
              </w:rPr>
              <w:t>Criteria</w:t>
            </w:r>
          </w:p>
        </w:tc>
        <w:tc>
          <w:tcPr>
            <w:tcW w:w="6946" w:type="dxa"/>
            <w:tcBorders>
              <w:top w:val="single" w:sz="12" w:space="0" w:color="auto"/>
              <w:left w:val="nil"/>
              <w:bottom w:val="single" w:sz="12" w:space="0" w:color="auto"/>
              <w:right w:val="nil"/>
            </w:tcBorders>
          </w:tcPr>
          <w:p w14:paraId="050D846F" w14:textId="78FCFDBD" w:rsidR="006F6826" w:rsidRPr="00E50658" w:rsidRDefault="006F6826" w:rsidP="00903A8B">
            <w:pPr>
              <w:spacing w:line="276" w:lineRule="auto"/>
              <w:rPr>
                <w:b/>
                <w:bCs/>
                <w:sz w:val="22"/>
                <w:szCs w:val="22"/>
              </w:rPr>
            </w:pPr>
            <w:r w:rsidRPr="00E50658">
              <w:rPr>
                <w:b/>
                <w:bCs/>
                <w:sz w:val="22"/>
                <w:szCs w:val="22"/>
              </w:rPr>
              <w:t>Guidelines</w:t>
            </w:r>
          </w:p>
        </w:tc>
      </w:tr>
      <w:tr w:rsidR="006F6826" w14:paraId="4F4A9F1C" w14:textId="77777777" w:rsidTr="006C3014">
        <w:tc>
          <w:tcPr>
            <w:tcW w:w="2552" w:type="dxa"/>
            <w:tcBorders>
              <w:top w:val="single" w:sz="12" w:space="0" w:color="auto"/>
              <w:left w:val="nil"/>
              <w:bottom w:val="single" w:sz="12" w:space="0" w:color="auto"/>
              <w:right w:val="nil"/>
            </w:tcBorders>
          </w:tcPr>
          <w:p w14:paraId="7FE81DA5" w14:textId="25813819" w:rsidR="006F6826" w:rsidRPr="006F6826" w:rsidRDefault="006F6826" w:rsidP="00903A8B">
            <w:pPr>
              <w:rPr>
                <w:b/>
                <w:bCs/>
                <w:sz w:val="22"/>
                <w:szCs w:val="22"/>
              </w:rPr>
            </w:pPr>
            <w:r w:rsidRPr="006F6826">
              <w:rPr>
                <w:b/>
                <w:bCs/>
                <w:sz w:val="22"/>
                <w:szCs w:val="22"/>
              </w:rPr>
              <w:t>Content</w:t>
            </w:r>
          </w:p>
          <w:p w14:paraId="074C82A5" w14:textId="0AA1A308" w:rsidR="006F6826" w:rsidRPr="006F6826" w:rsidRDefault="006F6826" w:rsidP="00903A8B">
            <w:pPr>
              <w:rPr>
                <w:sz w:val="22"/>
                <w:szCs w:val="22"/>
              </w:rPr>
            </w:pPr>
            <w:r w:rsidRPr="006F6826">
              <w:rPr>
                <w:sz w:val="22"/>
                <w:szCs w:val="22"/>
              </w:rPr>
              <w:t xml:space="preserve">     Effectiveness</w:t>
            </w:r>
          </w:p>
          <w:p w14:paraId="04700557" w14:textId="7AD6F1E8" w:rsidR="006F6826" w:rsidRPr="006F6826" w:rsidRDefault="006F6826" w:rsidP="00903A8B">
            <w:pPr>
              <w:rPr>
                <w:sz w:val="22"/>
                <w:szCs w:val="22"/>
              </w:rPr>
            </w:pPr>
            <w:r w:rsidRPr="006F6826">
              <w:rPr>
                <w:sz w:val="22"/>
                <w:szCs w:val="22"/>
              </w:rPr>
              <w:t xml:space="preserve">     Overview and </w:t>
            </w:r>
            <w:r w:rsidR="0017746D">
              <w:rPr>
                <w:sz w:val="22"/>
                <w:szCs w:val="22"/>
              </w:rPr>
              <w:t>D</w:t>
            </w:r>
            <w:r w:rsidRPr="006F6826">
              <w:rPr>
                <w:sz w:val="22"/>
                <w:szCs w:val="22"/>
              </w:rPr>
              <w:t>etail</w:t>
            </w:r>
          </w:p>
          <w:p w14:paraId="565B8588" w14:textId="70ED28E1" w:rsidR="006F6826" w:rsidRPr="006F6826" w:rsidRDefault="006F6826" w:rsidP="00903A8B">
            <w:pPr>
              <w:rPr>
                <w:sz w:val="22"/>
                <w:szCs w:val="22"/>
              </w:rPr>
            </w:pPr>
            <w:r w:rsidRPr="006F6826">
              <w:rPr>
                <w:sz w:val="22"/>
                <w:szCs w:val="22"/>
              </w:rPr>
              <w:t xml:space="preserve">     Accessibility</w:t>
            </w:r>
          </w:p>
          <w:p w14:paraId="25612262" w14:textId="263B9690" w:rsidR="006F6826" w:rsidRDefault="006F6826" w:rsidP="00903A8B">
            <w:pPr>
              <w:rPr>
                <w:sz w:val="22"/>
                <w:szCs w:val="22"/>
              </w:rPr>
            </w:pPr>
            <w:r w:rsidRPr="006F6826">
              <w:rPr>
                <w:sz w:val="22"/>
                <w:szCs w:val="22"/>
              </w:rPr>
              <w:t xml:space="preserve">     Completenes</w:t>
            </w:r>
            <w:r w:rsidR="0017746D">
              <w:rPr>
                <w:sz w:val="22"/>
                <w:szCs w:val="22"/>
              </w:rPr>
              <w:t>s</w:t>
            </w:r>
          </w:p>
          <w:p w14:paraId="03C48E69" w14:textId="28870A10" w:rsidR="006F6826" w:rsidRPr="006F6826" w:rsidRDefault="006F6826" w:rsidP="00903A8B">
            <w:pPr>
              <w:rPr>
                <w:sz w:val="22"/>
                <w:szCs w:val="22"/>
              </w:rPr>
            </w:pPr>
            <w:r>
              <w:rPr>
                <w:sz w:val="22"/>
                <w:szCs w:val="22"/>
              </w:rPr>
              <w:t xml:space="preserve">     </w:t>
            </w:r>
            <w:r w:rsidRPr="006F6826">
              <w:rPr>
                <w:sz w:val="22"/>
                <w:szCs w:val="22"/>
              </w:rPr>
              <w:t>Parsimony</w:t>
            </w:r>
          </w:p>
          <w:p w14:paraId="349274DB" w14:textId="5E82D884" w:rsidR="006F6826" w:rsidRPr="006F6826" w:rsidRDefault="006F6826" w:rsidP="00903A8B">
            <w:pPr>
              <w:rPr>
                <w:sz w:val="22"/>
                <w:szCs w:val="22"/>
              </w:rPr>
            </w:pPr>
            <w:r w:rsidRPr="006F6826">
              <w:rPr>
                <w:sz w:val="22"/>
                <w:szCs w:val="22"/>
              </w:rPr>
              <w:t xml:space="preserve">     Clarity</w:t>
            </w:r>
          </w:p>
          <w:p w14:paraId="3C515CDB" w14:textId="193240CD" w:rsidR="006F6826" w:rsidRPr="006F6826" w:rsidRDefault="006F6826" w:rsidP="00903A8B">
            <w:pPr>
              <w:rPr>
                <w:sz w:val="22"/>
                <w:szCs w:val="22"/>
              </w:rPr>
            </w:pPr>
            <w:r w:rsidRPr="006F6826">
              <w:rPr>
                <w:sz w:val="22"/>
                <w:szCs w:val="22"/>
              </w:rPr>
              <w:t xml:space="preserve">     Connectedness</w:t>
            </w:r>
          </w:p>
        </w:tc>
        <w:tc>
          <w:tcPr>
            <w:tcW w:w="6946" w:type="dxa"/>
            <w:tcBorders>
              <w:top w:val="single" w:sz="12" w:space="0" w:color="auto"/>
              <w:left w:val="nil"/>
              <w:bottom w:val="single" w:sz="12" w:space="0" w:color="auto"/>
              <w:right w:val="nil"/>
            </w:tcBorders>
          </w:tcPr>
          <w:p w14:paraId="0E7070BC" w14:textId="77777777" w:rsidR="006F6826" w:rsidRPr="006F6826" w:rsidRDefault="006F6826" w:rsidP="00903A8B">
            <w:pPr>
              <w:rPr>
                <w:sz w:val="22"/>
                <w:szCs w:val="22"/>
              </w:rPr>
            </w:pPr>
          </w:p>
          <w:p w14:paraId="79333D3F" w14:textId="77777777" w:rsidR="006F6826" w:rsidRPr="006F6826" w:rsidRDefault="006F6826" w:rsidP="00903A8B">
            <w:pPr>
              <w:rPr>
                <w:sz w:val="22"/>
                <w:szCs w:val="22"/>
              </w:rPr>
            </w:pPr>
            <w:r w:rsidRPr="006F6826">
              <w:rPr>
                <w:sz w:val="22"/>
                <w:szCs w:val="22"/>
              </w:rPr>
              <w:t>Does it capture the essence of the knowledge to be shared?</w:t>
            </w:r>
          </w:p>
          <w:p w14:paraId="29C58AE6" w14:textId="77777777" w:rsidR="006F6826" w:rsidRPr="006F6826" w:rsidRDefault="006F6826" w:rsidP="00903A8B">
            <w:pPr>
              <w:rPr>
                <w:sz w:val="22"/>
                <w:szCs w:val="22"/>
              </w:rPr>
            </w:pPr>
            <w:r w:rsidRPr="006F6826">
              <w:rPr>
                <w:sz w:val="22"/>
                <w:szCs w:val="22"/>
              </w:rPr>
              <w:t>Does it present the knowledge on different levels of detail?</w:t>
            </w:r>
          </w:p>
          <w:p w14:paraId="20AC0A62" w14:textId="77777777" w:rsidR="006F6826" w:rsidRPr="006F6826" w:rsidRDefault="006F6826" w:rsidP="00903A8B">
            <w:pPr>
              <w:rPr>
                <w:sz w:val="22"/>
                <w:szCs w:val="22"/>
              </w:rPr>
            </w:pPr>
            <w:r w:rsidRPr="006F6826">
              <w:rPr>
                <w:sz w:val="22"/>
                <w:szCs w:val="22"/>
              </w:rPr>
              <w:t>Is it appropriate for the target audience’s domain?</w:t>
            </w:r>
          </w:p>
          <w:p w14:paraId="17D2CF60" w14:textId="570BE482" w:rsidR="0017746D" w:rsidRDefault="006F6826" w:rsidP="00903A8B">
            <w:pPr>
              <w:rPr>
                <w:sz w:val="22"/>
                <w:szCs w:val="22"/>
              </w:rPr>
            </w:pPr>
            <w:r w:rsidRPr="006F6826">
              <w:rPr>
                <w:sz w:val="22"/>
                <w:szCs w:val="22"/>
              </w:rPr>
              <w:t>Is it appropriate for the target audience’s prior knowledge of the subject?</w:t>
            </w:r>
          </w:p>
          <w:p w14:paraId="16D1AB9C" w14:textId="39B96134" w:rsidR="006F6826" w:rsidRDefault="006F6826" w:rsidP="00903A8B">
            <w:pPr>
              <w:rPr>
                <w:sz w:val="22"/>
                <w:szCs w:val="22"/>
              </w:rPr>
            </w:pPr>
            <w:r>
              <w:rPr>
                <w:sz w:val="22"/>
                <w:szCs w:val="22"/>
              </w:rPr>
              <w:t>Are the concepts presented without redundancy and decoration?</w:t>
            </w:r>
          </w:p>
          <w:p w14:paraId="69E7DAFF" w14:textId="77777777" w:rsidR="006F6826" w:rsidRDefault="006F6826" w:rsidP="00903A8B">
            <w:pPr>
              <w:rPr>
                <w:sz w:val="22"/>
                <w:szCs w:val="22"/>
              </w:rPr>
            </w:pPr>
            <w:r>
              <w:rPr>
                <w:sz w:val="22"/>
                <w:szCs w:val="22"/>
              </w:rPr>
              <w:t>Is the visualization without ambiguity?</w:t>
            </w:r>
          </w:p>
          <w:p w14:paraId="1863FF6C" w14:textId="547C4A48" w:rsidR="006F6826" w:rsidRPr="006F6826" w:rsidRDefault="006F6826" w:rsidP="00903A8B">
            <w:pPr>
              <w:rPr>
                <w:sz w:val="22"/>
                <w:szCs w:val="22"/>
              </w:rPr>
            </w:pPr>
            <w:r>
              <w:rPr>
                <w:sz w:val="22"/>
                <w:szCs w:val="22"/>
              </w:rPr>
              <w:t>Are the relationship between concepts clearly shown?</w:t>
            </w:r>
          </w:p>
        </w:tc>
      </w:tr>
      <w:tr w:rsidR="006F6826" w14:paraId="467E6EC1" w14:textId="77777777" w:rsidTr="006C3014">
        <w:tc>
          <w:tcPr>
            <w:tcW w:w="2552" w:type="dxa"/>
            <w:tcBorders>
              <w:top w:val="single" w:sz="12" w:space="0" w:color="auto"/>
              <w:left w:val="nil"/>
              <w:bottom w:val="single" w:sz="12" w:space="0" w:color="auto"/>
              <w:right w:val="nil"/>
            </w:tcBorders>
          </w:tcPr>
          <w:p w14:paraId="0C77AB2B" w14:textId="77777777" w:rsidR="006F6826" w:rsidRPr="006F6826" w:rsidRDefault="006F6826" w:rsidP="00903A8B">
            <w:pPr>
              <w:rPr>
                <w:b/>
                <w:bCs/>
                <w:sz w:val="22"/>
                <w:szCs w:val="22"/>
              </w:rPr>
            </w:pPr>
            <w:r w:rsidRPr="006F6826">
              <w:rPr>
                <w:b/>
                <w:bCs/>
                <w:sz w:val="22"/>
                <w:szCs w:val="22"/>
              </w:rPr>
              <w:t>Format</w:t>
            </w:r>
          </w:p>
          <w:p w14:paraId="5146B642" w14:textId="4476A102" w:rsidR="006F6826" w:rsidRPr="006F6826" w:rsidRDefault="006F6826" w:rsidP="00903A8B">
            <w:pPr>
              <w:rPr>
                <w:sz w:val="22"/>
                <w:szCs w:val="22"/>
              </w:rPr>
            </w:pPr>
            <w:r w:rsidRPr="006F6826">
              <w:rPr>
                <w:sz w:val="22"/>
                <w:szCs w:val="22"/>
              </w:rPr>
              <w:t xml:space="preserve">     Natural Representation</w:t>
            </w:r>
          </w:p>
          <w:p w14:paraId="12870325" w14:textId="77777777" w:rsidR="006F6826" w:rsidRDefault="006F6826" w:rsidP="00903A8B">
            <w:pPr>
              <w:rPr>
                <w:sz w:val="22"/>
                <w:szCs w:val="22"/>
              </w:rPr>
            </w:pPr>
            <w:r w:rsidRPr="006F6826">
              <w:rPr>
                <w:sz w:val="22"/>
                <w:szCs w:val="22"/>
              </w:rPr>
              <w:t xml:space="preserve">     </w:t>
            </w:r>
          </w:p>
          <w:p w14:paraId="28D24AA0" w14:textId="4A60CCF1" w:rsidR="006F6826" w:rsidRPr="006F6826" w:rsidRDefault="006F6826" w:rsidP="00903A8B">
            <w:pPr>
              <w:rPr>
                <w:sz w:val="22"/>
                <w:szCs w:val="22"/>
              </w:rPr>
            </w:pPr>
            <w:r>
              <w:rPr>
                <w:sz w:val="22"/>
                <w:szCs w:val="22"/>
              </w:rPr>
              <w:t xml:space="preserve">     </w:t>
            </w:r>
            <w:r w:rsidRPr="006F6826">
              <w:rPr>
                <w:sz w:val="22"/>
                <w:szCs w:val="22"/>
              </w:rPr>
              <w:t>Boundaries</w:t>
            </w:r>
          </w:p>
          <w:p w14:paraId="58A8D11C" w14:textId="0A868F1E" w:rsidR="006F6826" w:rsidRPr="006F6826" w:rsidRDefault="006F6826" w:rsidP="00903A8B">
            <w:pPr>
              <w:rPr>
                <w:sz w:val="22"/>
                <w:szCs w:val="22"/>
              </w:rPr>
            </w:pPr>
            <w:r w:rsidRPr="006F6826">
              <w:rPr>
                <w:sz w:val="22"/>
                <w:szCs w:val="22"/>
              </w:rPr>
              <w:t xml:space="preserve">     Symmetry</w:t>
            </w:r>
          </w:p>
          <w:p w14:paraId="4C164D7E" w14:textId="323E3C42" w:rsidR="006F6826" w:rsidRPr="006F6826" w:rsidRDefault="006F6826" w:rsidP="00903A8B">
            <w:pPr>
              <w:rPr>
                <w:sz w:val="22"/>
                <w:szCs w:val="22"/>
              </w:rPr>
            </w:pPr>
            <w:r w:rsidRPr="006F6826">
              <w:rPr>
                <w:sz w:val="22"/>
                <w:szCs w:val="22"/>
              </w:rPr>
              <w:t xml:space="preserve">     Focus and </w:t>
            </w:r>
            <w:r w:rsidR="0017746D">
              <w:rPr>
                <w:sz w:val="22"/>
                <w:szCs w:val="22"/>
              </w:rPr>
              <w:t>B</w:t>
            </w:r>
            <w:r w:rsidRPr="006F6826">
              <w:rPr>
                <w:sz w:val="22"/>
                <w:szCs w:val="22"/>
              </w:rPr>
              <w:t>alance</w:t>
            </w:r>
          </w:p>
          <w:p w14:paraId="330BE000" w14:textId="77777777" w:rsidR="006F6826" w:rsidRDefault="006F6826" w:rsidP="00903A8B">
            <w:pPr>
              <w:rPr>
                <w:sz w:val="22"/>
                <w:szCs w:val="22"/>
              </w:rPr>
            </w:pPr>
            <w:r w:rsidRPr="006F6826">
              <w:rPr>
                <w:sz w:val="22"/>
                <w:szCs w:val="22"/>
              </w:rPr>
              <w:t xml:space="preserve">    </w:t>
            </w:r>
          </w:p>
          <w:p w14:paraId="4BDCE1B8" w14:textId="28BB807D" w:rsidR="006F6826" w:rsidRPr="006F6826" w:rsidRDefault="006F6826" w:rsidP="00903A8B">
            <w:pPr>
              <w:rPr>
                <w:sz w:val="22"/>
                <w:szCs w:val="22"/>
              </w:rPr>
            </w:pPr>
            <w:r>
              <w:rPr>
                <w:sz w:val="22"/>
                <w:szCs w:val="22"/>
              </w:rPr>
              <w:t xml:space="preserve">    </w:t>
            </w:r>
            <w:r w:rsidRPr="006F6826">
              <w:rPr>
                <w:sz w:val="22"/>
                <w:szCs w:val="22"/>
              </w:rPr>
              <w:t xml:space="preserve"> Consistency</w:t>
            </w:r>
          </w:p>
          <w:p w14:paraId="2E377822" w14:textId="77777777" w:rsidR="006F6826" w:rsidRDefault="006F6826" w:rsidP="00903A8B">
            <w:pPr>
              <w:rPr>
                <w:sz w:val="22"/>
                <w:szCs w:val="22"/>
              </w:rPr>
            </w:pPr>
            <w:r w:rsidRPr="006F6826">
              <w:rPr>
                <w:sz w:val="22"/>
                <w:szCs w:val="22"/>
              </w:rPr>
              <w:t xml:space="preserve">     </w:t>
            </w:r>
          </w:p>
          <w:p w14:paraId="4DA10D42" w14:textId="3579A1A0" w:rsidR="006F6826" w:rsidRPr="006F6826" w:rsidRDefault="006F6826" w:rsidP="00903A8B">
            <w:pPr>
              <w:rPr>
                <w:sz w:val="22"/>
                <w:szCs w:val="22"/>
              </w:rPr>
            </w:pPr>
            <w:r>
              <w:rPr>
                <w:sz w:val="22"/>
                <w:szCs w:val="22"/>
              </w:rPr>
              <w:t xml:space="preserve">     </w:t>
            </w:r>
            <w:r w:rsidRPr="006F6826">
              <w:rPr>
                <w:sz w:val="22"/>
                <w:szCs w:val="22"/>
              </w:rPr>
              <w:t>Simplicity</w:t>
            </w:r>
          </w:p>
          <w:p w14:paraId="3EDB5262" w14:textId="77777777" w:rsidR="006F6826" w:rsidRDefault="006F6826" w:rsidP="00903A8B">
            <w:pPr>
              <w:rPr>
                <w:sz w:val="22"/>
                <w:szCs w:val="22"/>
              </w:rPr>
            </w:pPr>
            <w:r w:rsidRPr="006F6826">
              <w:rPr>
                <w:sz w:val="22"/>
                <w:szCs w:val="22"/>
              </w:rPr>
              <w:t xml:space="preserve">    </w:t>
            </w:r>
          </w:p>
          <w:p w14:paraId="1DC53BF4" w14:textId="1A064A28" w:rsidR="006F6826" w:rsidRPr="006F6826" w:rsidRDefault="006F6826" w:rsidP="00903A8B">
            <w:pPr>
              <w:rPr>
                <w:sz w:val="22"/>
                <w:szCs w:val="22"/>
              </w:rPr>
            </w:pPr>
            <w:r>
              <w:rPr>
                <w:sz w:val="22"/>
                <w:szCs w:val="22"/>
              </w:rPr>
              <w:t xml:space="preserve">    </w:t>
            </w:r>
            <w:r w:rsidRPr="006F6826">
              <w:rPr>
                <w:sz w:val="22"/>
                <w:szCs w:val="22"/>
              </w:rPr>
              <w:t xml:space="preserve"> Legend</w:t>
            </w:r>
          </w:p>
          <w:p w14:paraId="22233039" w14:textId="02A9A629" w:rsidR="006F6826" w:rsidRPr="006F6826" w:rsidRDefault="006F6826" w:rsidP="00903A8B">
            <w:pPr>
              <w:rPr>
                <w:sz w:val="22"/>
                <w:szCs w:val="22"/>
              </w:rPr>
            </w:pPr>
            <w:r w:rsidRPr="006F6826">
              <w:rPr>
                <w:sz w:val="22"/>
                <w:szCs w:val="22"/>
              </w:rPr>
              <w:t xml:space="preserve">     Dual </w:t>
            </w:r>
            <w:r w:rsidR="0017746D">
              <w:rPr>
                <w:sz w:val="22"/>
                <w:szCs w:val="22"/>
              </w:rPr>
              <w:t>C</w:t>
            </w:r>
            <w:r w:rsidRPr="006F6826">
              <w:rPr>
                <w:sz w:val="22"/>
                <w:szCs w:val="22"/>
              </w:rPr>
              <w:t>oding</w:t>
            </w:r>
          </w:p>
          <w:p w14:paraId="3C4411BA" w14:textId="549BF8E5" w:rsidR="006F6826" w:rsidRPr="006F6826" w:rsidRDefault="006F6826" w:rsidP="00903A8B">
            <w:pPr>
              <w:rPr>
                <w:sz w:val="22"/>
                <w:szCs w:val="22"/>
              </w:rPr>
            </w:pPr>
            <w:r w:rsidRPr="006F6826">
              <w:rPr>
                <w:sz w:val="22"/>
                <w:szCs w:val="22"/>
              </w:rPr>
              <w:t xml:space="preserve">     Colours</w:t>
            </w:r>
          </w:p>
        </w:tc>
        <w:tc>
          <w:tcPr>
            <w:tcW w:w="6946" w:type="dxa"/>
            <w:tcBorders>
              <w:top w:val="single" w:sz="12" w:space="0" w:color="auto"/>
              <w:left w:val="nil"/>
              <w:bottom w:val="single" w:sz="12" w:space="0" w:color="auto"/>
              <w:right w:val="nil"/>
            </w:tcBorders>
          </w:tcPr>
          <w:p w14:paraId="56386387" w14:textId="77777777" w:rsidR="006F6826" w:rsidRPr="006F6826" w:rsidRDefault="006F6826" w:rsidP="00903A8B">
            <w:pPr>
              <w:rPr>
                <w:sz w:val="22"/>
                <w:szCs w:val="22"/>
              </w:rPr>
            </w:pPr>
          </w:p>
          <w:p w14:paraId="51F20C13" w14:textId="77777777" w:rsidR="006F6826" w:rsidRDefault="006F6826" w:rsidP="00903A8B">
            <w:pPr>
              <w:rPr>
                <w:sz w:val="22"/>
                <w:szCs w:val="22"/>
              </w:rPr>
            </w:pPr>
            <w:r w:rsidRPr="006F6826">
              <w:rPr>
                <w:sz w:val="22"/>
                <w:szCs w:val="22"/>
              </w:rPr>
              <w:t>Are the visual images based on recognizable, familiar representations to support recognition?</w:t>
            </w:r>
          </w:p>
          <w:p w14:paraId="171BB487" w14:textId="77777777" w:rsidR="006F6826" w:rsidRDefault="006F6826" w:rsidP="00903A8B">
            <w:pPr>
              <w:rPr>
                <w:sz w:val="22"/>
                <w:szCs w:val="22"/>
              </w:rPr>
            </w:pPr>
            <w:r>
              <w:rPr>
                <w:sz w:val="22"/>
                <w:szCs w:val="22"/>
              </w:rPr>
              <w:t>Are the boundaries clear?</w:t>
            </w:r>
          </w:p>
          <w:p w14:paraId="7E20DCD6" w14:textId="77777777" w:rsidR="006F6826" w:rsidRDefault="006F6826" w:rsidP="00903A8B">
            <w:pPr>
              <w:rPr>
                <w:sz w:val="22"/>
                <w:szCs w:val="22"/>
              </w:rPr>
            </w:pPr>
            <w:r>
              <w:rPr>
                <w:sz w:val="22"/>
                <w:szCs w:val="22"/>
              </w:rPr>
              <w:t>Is the visualization as symmetrical as possible?</w:t>
            </w:r>
          </w:p>
          <w:p w14:paraId="0A76F731" w14:textId="77777777" w:rsidR="006F6826" w:rsidRDefault="006F6826" w:rsidP="00903A8B">
            <w:pPr>
              <w:rPr>
                <w:sz w:val="22"/>
                <w:szCs w:val="22"/>
              </w:rPr>
            </w:pPr>
            <w:r>
              <w:rPr>
                <w:sz w:val="22"/>
                <w:szCs w:val="22"/>
              </w:rPr>
              <w:t>Are the elements positioned to support the visual prominence of specific elements and the direction of the information flow?</w:t>
            </w:r>
          </w:p>
          <w:p w14:paraId="5375259B" w14:textId="77777777" w:rsidR="006F6826" w:rsidRDefault="006F6826" w:rsidP="00903A8B">
            <w:pPr>
              <w:rPr>
                <w:sz w:val="22"/>
                <w:szCs w:val="22"/>
              </w:rPr>
            </w:pPr>
            <w:r>
              <w:rPr>
                <w:sz w:val="22"/>
                <w:szCs w:val="22"/>
              </w:rPr>
              <w:t>Are the visual elements such as colour, symbols, shapes, etc. used consistently?</w:t>
            </w:r>
          </w:p>
          <w:p w14:paraId="034B6614" w14:textId="77777777" w:rsidR="006F6826" w:rsidRDefault="006F6826" w:rsidP="00903A8B">
            <w:pPr>
              <w:rPr>
                <w:sz w:val="22"/>
                <w:szCs w:val="22"/>
              </w:rPr>
            </w:pPr>
            <w:r>
              <w:rPr>
                <w:sz w:val="22"/>
                <w:szCs w:val="22"/>
              </w:rPr>
              <w:t xml:space="preserve">Is the number of concepts on each level of visualization a maximum of 7 </w:t>
            </w:r>
            <w:r>
              <w:rPr>
                <w:sz w:val="22"/>
                <w:szCs w:val="22"/>
              </w:rPr>
              <w:sym w:font="Symbol" w:char="F0B1"/>
            </w:r>
            <w:r>
              <w:rPr>
                <w:sz w:val="22"/>
                <w:szCs w:val="22"/>
              </w:rPr>
              <w:t xml:space="preserve"> 2 objects?</w:t>
            </w:r>
          </w:p>
          <w:p w14:paraId="4A62C008" w14:textId="77777777" w:rsidR="006F6826" w:rsidRDefault="006F6826" w:rsidP="00903A8B">
            <w:pPr>
              <w:rPr>
                <w:sz w:val="22"/>
                <w:szCs w:val="22"/>
              </w:rPr>
            </w:pPr>
            <w:r>
              <w:rPr>
                <w:sz w:val="22"/>
                <w:szCs w:val="22"/>
              </w:rPr>
              <w:t>Is there an accompanying item to provide explanations on symbols used?</w:t>
            </w:r>
          </w:p>
          <w:p w14:paraId="41FDF1F6" w14:textId="77777777" w:rsidR="006F6826" w:rsidRDefault="006F6826" w:rsidP="00903A8B">
            <w:pPr>
              <w:rPr>
                <w:sz w:val="22"/>
                <w:szCs w:val="22"/>
              </w:rPr>
            </w:pPr>
            <w:r>
              <w:rPr>
                <w:sz w:val="22"/>
                <w:szCs w:val="22"/>
              </w:rPr>
              <w:t>Are both textual and visual representations used to present the knowledge?</w:t>
            </w:r>
          </w:p>
          <w:p w14:paraId="1A68EDFB" w14:textId="69798D31" w:rsidR="006F6826" w:rsidRPr="006F6826" w:rsidRDefault="006F6826" w:rsidP="00903A8B">
            <w:pPr>
              <w:rPr>
                <w:sz w:val="22"/>
                <w:szCs w:val="22"/>
              </w:rPr>
            </w:pPr>
            <w:r>
              <w:rPr>
                <w:sz w:val="22"/>
                <w:szCs w:val="22"/>
              </w:rPr>
              <w:t>Are colours used to support relating and differentiating images</w:t>
            </w:r>
            <w:r w:rsidR="0017746D">
              <w:rPr>
                <w:sz w:val="22"/>
                <w:szCs w:val="22"/>
              </w:rPr>
              <w:t xml:space="preserve">? </w:t>
            </w:r>
            <w:r>
              <w:rPr>
                <w:sz w:val="22"/>
                <w:szCs w:val="22"/>
              </w:rPr>
              <w:t xml:space="preserve">Are colours used aesthetically? Context will prescribe since colours have different meanings in different contexts and cultures. </w:t>
            </w:r>
            <w:r w:rsidR="0017746D">
              <w:rPr>
                <w:sz w:val="22"/>
                <w:szCs w:val="22"/>
              </w:rPr>
              <w:t>C</w:t>
            </w:r>
            <w:r>
              <w:rPr>
                <w:sz w:val="22"/>
                <w:szCs w:val="22"/>
              </w:rPr>
              <w:t>onsider colour-blind viewers</w:t>
            </w:r>
            <w:r w:rsidR="00E50658">
              <w:rPr>
                <w:sz w:val="22"/>
                <w:szCs w:val="22"/>
              </w:rPr>
              <w:t>.</w:t>
            </w:r>
          </w:p>
        </w:tc>
      </w:tr>
    </w:tbl>
    <w:p w14:paraId="466DE53A" w14:textId="3E6616B2" w:rsidR="006C3014" w:rsidRDefault="00E50658" w:rsidP="00903A8B">
      <w:pPr>
        <w:spacing w:line="276" w:lineRule="auto"/>
      </w:pPr>
      <w:r>
        <w:rPr>
          <w:i/>
          <w:iCs/>
        </w:rPr>
        <w:t xml:space="preserve">Note. </w:t>
      </w:r>
      <w:r>
        <w:t xml:space="preserve">Adapted from </w:t>
      </w:r>
      <w:r w:rsidR="002018BE">
        <w:t xml:space="preserve">van </w:t>
      </w:r>
      <w:r>
        <w:t>Biljon &amp; Osei-Bryson, 2020</w:t>
      </w:r>
      <w:r w:rsidR="00F70916">
        <w:t>.</w:t>
      </w:r>
    </w:p>
    <w:p w14:paraId="796C2BFE" w14:textId="77777777" w:rsidR="00903A8B" w:rsidRDefault="00903A8B" w:rsidP="00903A8B">
      <w:pPr>
        <w:spacing w:line="276" w:lineRule="auto"/>
        <w:rPr>
          <w:b/>
          <w:bCs/>
          <w:i/>
          <w:iCs/>
        </w:rPr>
      </w:pPr>
    </w:p>
    <w:p w14:paraId="24DDF00B" w14:textId="0372EDAB" w:rsidR="000369F4" w:rsidRPr="000369F4" w:rsidRDefault="000369F4" w:rsidP="00903A8B">
      <w:pPr>
        <w:spacing w:line="276" w:lineRule="auto"/>
        <w:rPr>
          <w:b/>
          <w:bCs/>
        </w:rPr>
      </w:pPr>
      <w:r>
        <w:rPr>
          <w:b/>
          <w:bCs/>
        </w:rPr>
        <w:t>Good and Bad Examples of Knowledge Visualization</w:t>
      </w:r>
    </w:p>
    <w:p w14:paraId="621DAE2E" w14:textId="77777777" w:rsidR="000369F4" w:rsidRDefault="000369F4" w:rsidP="00903A8B">
      <w:pPr>
        <w:spacing w:line="276" w:lineRule="auto"/>
        <w:rPr>
          <w:b/>
          <w:bCs/>
          <w:i/>
          <w:iCs/>
        </w:rPr>
      </w:pPr>
    </w:p>
    <w:p w14:paraId="105CEBC7" w14:textId="47D5F81D" w:rsidR="002632C9" w:rsidRDefault="002632C9" w:rsidP="00903A8B">
      <w:pPr>
        <w:spacing w:line="276" w:lineRule="auto"/>
        <w:rPr>
          <w:b/>
          <w:bCs/>
          <w:i/>
          <w:iCs/>
        </w:rPr>
      </w:pPr>
      <w:r w:rsidRPr="00F70916">
        <w:rPr>
          <w:b/>
          <w:bCs/>
          <w:i/>
          <w:iCs/>
        </w:rPr>
        <w:t xml:space="preserve">Example of </w:t>
      </w:r>
      <w:r w:rsidR="00A41E2E">
        <w:rPr>
          <w:b/>
          <w:bCs/>
          <w:i/>
          <w:iCs/>
        </w:rPr>
        <w:t xml:space="preserve">a </w:t>
      </w:r>
      <w:r w:rsidR="00F64C66">
        <w:rPr>
          <w:b/>
          <w:bCs/>
          <w:i/>
          <w:iCs/>
        </w:rPr>
        <w:t xml:space="preserve">“Good” </w:t>
      </w:r>
      <w:r w:rsidR="00494E7A">
        <w:rPr>
          <w:b/>
          <w:bCs/>
          <w:i/>
          <w:iCs/>
        </w:rPr>
        <w:t xml:space="preserve">Knowledge </w:t>
      </w:r>
      <w:r w:rsidRPr="00F70916">
        <w:rPr>
          <w:b/>
          <w:bCs/>
          <w:i/>
          <w:iCs/>
        </w:rPr>
        <w:t xml:space="preserve">Visualization </w:t>
      </w:r>
      <w:r w:rsidR="00F64C66">
        <w:rPr>
          <w:b/>
          <w:bCs/>
          <w:i/>
          <w:iCs/>
        </w:rPr>
        <w:t>U</w:t>
      </w:r>
      <w:r w:rsidRPr="00F70916">
        <w:rPr>
          <w:b/>
          <w:bCs/>
          <w:i/>
          <w:iCs/>
        </w:rPr>
        <w:t>sed for Knowledge Translation</w:t>
      </w:r>
    </w:p>
    <w:p w14:paraId="270C9AE3" w14:textId="77777777" w:rsidR="00903A8B" w:rsidRDefault="00F70916" w:rsidP="00903A8B">
      <w:pPr>
        <w:spacing w:line="276" w:lineRule="auto"/>
      </w:pPr>
      <w:r>
        <w:tab/>
      </w:r>
    </w:p>
    <w:p w14:paraId="6227D980" w14:textId="032DB2A8" w:rsidR="00C42A64" w:rsidRDefault="00F70916" w:rsidP="00903A8B">
      <w:pPr>
        <w:spacing w:line="276" w:lineRule="auto"/>
        <w:ind w:firstLine="720"/>
      </w:pPr>
      <w:r>
        <w:t xml:space="preserve">In 2021, the Centers for Disease Control and Prevention (CDC) released a </w:t>
      </w:r>
      <w:r w:rsidRPr="001D2A35">
        <w:t>report</w:t>
      </w:r>
      <w:r>
        <w:t xml:space="preserve"> describing the association between COVID-19 and myocarditis</w:t>
      </w:r>
      <w:r w:rsidR="001D2A35">
        <w:t xml:space="preserve"> (i.e., inflammation of part of the heart muscle)</w:t>
      </w:r>
      <w:r>
        <w:t xml:space="preserve"> using hospital-based administrative data</w:t>
      </w:r>
      <w:r w:rsidR="00C47167">
        <w:t xml:space="preserve"> </w:t>
      </w:r>
      <w:r w:rsidR="00C47167">
        <w:rPr>
          <w:noProof/>
        </w:rPr>
        <w:t>(Boehmer et al., 2021)</w:t>
      </w:r>
      <w:r>
        <w:t xml:space="preserve">. The goal of the report was to demonstrate that patients with COVID-19 had nearly 16 times the risk for myocarditis compared </w:t>
      </w:r>
      <w:r w:rsidR="00662D9A">
        <w:t>to</w:t>
      </w:r>
      <w:r>
        <w:t xml:space="preserve"> patients who did not have COVID-19. </w:t>
      </w:r>
      <w:r w:rsidR="00674D82">
        <w:t>T</w:t>
      </w:r>
      <w:r>
        <w:t xml:space="preserve">he authors </w:t>
      </w:r>
      <w:r w:rsidR="001D2A35">
        <w:t xml:space="preserve">also wanted to </w:t>
      </w:r>
      <w:r>
        <w:t>highlight</w:t>
      </w:r>
      <w:r w:rsidR="001D2A35">
        <w:t xml:space="preserve"> </w:t>
      </w:r>
      <w:r>
        <w:t xml:space="preserve">that these findings </w:t>
      </w:r>
      <w:r w:rsidR="00A41E2E">
        <w:t>stress</w:t>
      </w:r>
      <w:r>
        <w:t xml:space="preserve"> the importance of implementing evidence-based prevention strategies, </w:t>
      </w:r>
      <w:r w:rsidRPr="00593057">
        <w:t>including vaccination, to reduce the public health impact of COVID-19.</w:t>
      </w:r>
      <w:r w:rsidR="00680282" w:rsidRPr="00593057">
        <w:t xml:space="preserve"> </w:t>
      </w:r>
      <w:r w:rsidR="001D2A35" w:rsidRPr="00593057">
        <w:t>T</w:t>
      </w:r>
      <w:r w:rsidR="00680282" w:rsidRPr="00593057">
        <w:t>he report</w:t>
      </w:r>
      <w:r w:rsidR="00680282">
        <w:t xml:space="preserve"> is accompanied by a graphic to illustrate its primary take-home message</w:t>
      </w:r>
      <w:r w:rsidR="00A41E2E">
        <w:t>s</w:t>
      </w:r>
      <w:r w:rsidR="00680282">
        <w:t xml:space="preserve"> (see Figure 1). </w:t>
      </w:r>
      <w:r w:rsidR="001D2A35">
        <w:t xml:space="preserve">Importantly, the graphic meets the design criteria outlined by </w:t>
      </w:r>
      <w:r w:rsidR="00C47167">
        <w:t xml:space="preserve">van </w:t>
      </w:r>
      <w:r w:rsidR="001D2A35">
        <w:t xml:space="preserve">Biljon and Osei-Bryson (2020). The visualization is trustworthy as it presents evidence-based information from a reliable and credible source, and it is accessible as it is easily understandable. Moreover, the content of </w:t>
      </w:r>
      <w:r w:rsidR="001D2A35">
        <w:lastRenderedPageBreak/>
        <w:t>the visualization captures the crux of the knowledge to be shared and does not contain redundant information or graphical elements.</w:t>
      </w:r>
      <w:r w:rsidR="00A41E2E">
        <w:t xml:space="preserve"> Critically, the two take-home messages of the report, that myocarditis occurs more frequently among COVID-19 patients and that vaccination is the best way to protect against COVID-19 complications, are effectively illustrated within the graphic. </w:t>
      </w:r>
      <w:r w:rsidR="00EE77B3">
        <w:t xml:space="preserve">This example demonstrates the importance of using </w:t>
      </w:r>
      <w:r w:rsidR="00C42A64">
        <w:t>KV for KT. Without the graphic, the information presented in the report would be significantly less accessible to the general population</w:t>
      </w:r>
      <w:r w:rsidR="00A41E2E">
        <w:t xml:space="preserve"> </w:t>
      </w:r>
      <w:r w:rsidR="00C42A64">
        <w:t>who represents the CDC’s target audience</w:t>
      </w:r>
      <w:r w:rsidR="00A41E2E">
        <w:t xml:space="preserve"> in this example.</w:t>
      </w:r>
    </w:p>
    <w:p w14:paraId="47ADCB6E" w14:textId="77777777" w:rsidR="00903A8B" w:rsidRDefault="00A41E2E" w:rsidP="00903A8B">
      <w:pPr>
        <w:spacing w:line="276" w:lineRule="auto"/>
      </w:pPr>
      <w:r>
        <w:tab/>
      </w:r>
    </w:p>
    <w:p w14:paraId="6388ECA5" w14:textId="76906853" w:rsidR="00A41E2E" w:rsidRDefault="004A3406" w:rsidP="00903A8B">
      <w:pPr>
        <w:spacing w:line="276" w:lineRule="auto"/>
        <w:ind w:firstLine="720"/>
      </w:pPr>
      <w:r>
        <w:rPr>
          <w:b/>
          <w:bCs/>
        </w:rPr>
        <w:t xml:space="preserve">Examining Impact. </w:t>
      </w:r>
      <w:r w:rsidR="00A41E2E">
        <w:t>In</w:t>
      </w:r>
      <w:r>
        <w:t xml:space="preserve"> addition to the visualization being easily interpretable by the general public, the visualization also improved the impact that the report made across various social media platforms. </w:t>
      </w:r>
      <w:r w:rsidR="007B2A88">
        <w:t xml:space="preserve">Altmetric tracks online engagement to reveal how and where research is making an impact (Altmetric, 2023). </w:t>
      </w:r>
      <w:r>
        <w:t xml:space="preserve">The </w:t>
      </w:r>
      <w:r w:rsidRPr="00D11C55">
        <w:t>Altmetric attention</w:t>
      </w:r>
      <w:r>
        <w:t xml:space="preserve"> score provides an indicator of the amount of attention a report</w:t>
      </w:r>
      <w:r w:rsidR="007B2A88">
        <w:t xml:space="preserve"> </w:t>
      </w:r>
      <w:r>
        <w:t xml:space="preserve">receives, and this </w:t>
      </w:r>
      <w:r w:rsidR="00D11C55" w:rsidRPr="00D11C55">
        <w:t xml:space="preserve">can be </w:t>
      </w:r>
      <w:r w:rsidRPr="00D11C55">
        <w:t xml:space="preserve">further </w:t>
      </w:r>
      <w:r w:rsidR="007B2A88">
        <w:t>indexed</w:t>
      </w:r>
      <w:r w:rsidRPr="00D11C55">
        <w:t xml:space="preserve"> </w:t>
      </w:r>
      <w:r w:rsidR="00D11C55" w:rsidRPr="00D11C55">
        <w:t>by</w:t>
      </w:r>
      <w:r w:rsidRPr="00D11C55">
        <w:t xml:space="preserve"> </w:t>
      </w:r>
      <w:r w:rsidR="00D11C55" w:rsidRPr="00D11C55">
        <w:t xml:space="preserve">the attention received via various </w:t>
      </w:r>
      <w:r w:rsidRPr="00D11C55">
        <w:t>media platforms. For instance</w:t>
      </w:r>
      <w:r>
        <w:t xml:space="preserve">, according to Altmetric, </w:t>
      </w:r>
      <w:r w:rsidR="007B2A88">
        <w:t xml:space="preserve">the Boehmer et al. (2021) CDC </w:t>
      </w:r>
      <w:r>
        <w:t>report was seen in 5,831 different X posts from 4,275 X users, with upwards of 23,876,844 followers. Importantly, upon further examination, the report’s visualization (Figure 1) appears in many of the X posts citing the report, highlighting the impact that visualizations can have when mobilizing research knowledge to the general public.</w:t>
      </w:r>
    </w:p>
    <w:p w14:paraId="770A38D7" w14:textId="77777777" w:rsidR="00903A8B" w:rsidRDefault="00903A8B" w:rsidP="00903A8B">
      <w:pPr>
        <w:spacing w:line="276" w:lineRule="auto"/>
        <w:rPr>
          <w:b/>
          <w:bCs/>
        </w:rPr>
      </w:pPr>
    </w:p>
    <w:p w14:paraId="5A83BDF5" w14:textId="63957083" w:rsidR="00680282" w:rsidRDefault="00680282" w:rsidP="00903A8B">
      <w:pPr>
        <w:spacing w:line="360" w:lineRule="auto"/>
        <w:rPr>
          <w:b/>
          <w:bCs/>
        </w:rPr>
      </w:pPr>
      <w:r>
        <w:rPr>
          <w:b/>
          <w:bCs/>
        </w:rPr>
        <w:t>Figure 1</w:t>
      </w:r>
    </w:p>
    <w:p w14:paraId="6C2E174B" w14:textId="2EF209FB" w:rsidR="00680282" w:rsidRPr="00680282" w:rsidRDefault="00680282" w:rsidP="00903A8B">
      <w:pPr>
        <w:spacing w:line="360" w:lineRule="auto"/>
        <w:rPr>
          <w:i/>
          <w:iCs/>
        </w:rPr>
      </w:pPr>
      <w:r>
        <w:rPr>
          <w:i/>
          <w:iCs/>
        </w:rPr>
        <w:t>Myocarditis Occurs More Frequently Among COVID-19 Patients</w:t>
      </w:r>
    </w:p>
    <w:p w14:paraId="250F3B92" w14:textId="546D14E6" w:rsidR="00680282" w:rsidRDefault="002632C9" w:rsidP="00903A8B">
      <w:pPr>
        <w:spacing w:line="276" w:lineRule="auto"/>
        <w:rPr>
          <w:noProof/>
        </w:rPr>
      </w:pPr>
      <w:r>
        <w:rPr>
          <w:noProof/>
        </w:rPr>
        <w:drawing>
          <wp:inline distT="0" distB="0" distL="0" distR="0" wp14:anchorId="44C48E44" wp14:editId="245EAC9D">
            <wp:extent cx="5407378" cy="3005832"/>
            <wp:effectExtent l="0" t="0" r="3175" b="4445"/>
            <wp:docPr id="459910479" name="Picture 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10479" name="Picture 1" descr="A blue and white background with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11415" cy="3286014"/>
                    </a:xfrm>
                    <a:prstGeom prst="rect">
                      <a:avLst/>
                    </a:prstGeom>
                  </pic:spPr>
                </pic:pic>
              </a:graphicData>
            </a:graphic>
          </wp:inline>
        </w:drawing>
      </w:r>
    </w:p>
    <w:p w14:paraId="3E50BA26" w14:textId="48C3A614" w:rsidR="00680282" w:rsidRDefault="00680282" w:rsidP="00903A8B">
      <w:pPr>
        <w:spacing w:line="276" w:lineRule="auto"/>
        <w:rPr>
          <w:noProof/>
        </w:rPr>
      </w:pPr>
      <w:r>
        <w:rPr>
          <w:i/>
          <w:iCs/>
          <w:noProof/>
        </w:rPr>
        <w:t xml:space="preserve">Note. </w:t>
      </w:r>
      <w:r>
        <w:rPr>
          <w:noProof/>
        </w:rPr>
        <w:t>Graphic from the Centers for Disease Control and Prevention (CDC) Morbidity and Mortality Weeky Report (MMWR)</w:t>
      </w:r>
      <w:r w:rsidR="002F1995">
        <w:rPr>
          <w:noProof/>
        </w:rPr>
        <w:t xml:space="preserve"> (Boehmer et al., 2021).</w:t>
      </w:r>
    </w:p>
    <w:p w14:paraId="02F1BB4A" w14:textId="77777777" w:rsidR="00623071" w:rsidRDefault="00623071" w:rsidP="00903A8B">
      <w:pPr>
        <w:spacing w:line="276" w:lineRule="auto"/>
        <w:rPr>
          <w:b/>
          <w:bCs/>
          <w:i/>
          <w:iCs/>
          <w:noProof/>
        </w:rPr>
      </w:pPr>
    </w:p>
    <w:p w14:paraId="7289A8E9" w14:textId="77777777" w:rsidR="00623071" w:rsidRDefault="00623071" w:rsidP="00903A8B">
      <w:pPr>
        <w:spacing w:line="276" w:lineRule="auto"/>
        <w:rPr>
          <w:b/>
          <w:bCs/>
          <w:i/>
          <w:iCs/>
          <w:noProof/>
        </w:rPr>
      </w:pPr>
    </w:p>
    <w:p w14:paraId="583A1086" w14:textId="44F03BAC" w:rsidR="008D15C1" w:rsidRDefault="00F64C66" w:rsidP="00903A8B">
      <w:pPr>
        <w:spacing w:line="276" w:lineRule="auto"/>
        <w:rPr>
          <w:b/>
          <w:bCs/>
          <w:i/>
          <w:iCs/>
          <w:noProof/>
        </w:rPr>
      </w:pPr>
      <w:r>
        <w:rPr>
          <w:b/>
          <w:bCs/>
          <w:i/>
          <w:iCs/>
          <w:noProof/>
        </w:rPr>
        <w:lastRenderedPageBreak/>
        <w:t>Example</w:t>
      </w:r>
      <w:r w:rsidR="000369F4">
        <w:rPr>
          <w:b/>
          <w:bCs/>
          <w:i/>
          <w:iCs/>
          <w:noProof/>
        </w:rPr>
        <w:t>s</w:t>
      </w:r>
      <w:r>
        <w:rPr>
          <w:b/>
          <w:bCs/>
          <w:i/>
          <w:iCs/>
          <w:noProof/>
        </w:rPr>
        <w:t xml:space="preserve"> of “Bad” Visualization</w:t>
      </w:r>
      <w:r w:rsidR="000369F4">
        <w:rPr>
          <w:b/>
          <w:bCs/>
          <w:i/>
          <w:iCs/>
          <w:noProof/>
        </w:rPr>
        <w:t>s</w:t>
      </w:r>
      <w:r>
        <w:rPr>
          <w:b/>
          <w:bCs/>
          <w:i/>
          <w:iCs/>
          <w:noProof/>
        </w:rPr>
        <w:t xml:space="preserve"> </w:t>
      </w:r>
    </w:p>
    <w:p w14:paraId="487E0157" w14:textId="77777777" w:rsidR="002B6E6F" w:rsidRPr="002B6E6F" w:rsidRDefault="002B6E6F" w:rsidP="00903A8B">
      <w:pPr>
        <w:spacing w:line="276" w:lineRule="auto"/>
        <w:rPr>
          <w:b/>
          <w:bCs/>
          <w:i/>
          <w:iCs/>
          <w:noProof/>
        </w:rPr>
      </w:pPr>
    </w:p>
    <w:p w14:paraId="6D8C9D94" w14:textId="2BC13A1D" w:rsidR="008D15C1" w:rsidRDefault="008D15C1" w:rsidP="00903A8B">
      <w:pPr>
        <w:spacing w:line="276" w:lineRule="auto"/>
        <w:rPr>
          <w:noProof/>
        </w:rPr>
      </w:pPr>
      <w:r>
        <w:rPr>
          <w:b/>
          <w:bCs/>
          <w:noProof/>
        </w:rPr>
        <w:tab/>
      </w:r>
      <w:r w:rsidR="000369F4">
        <w:rPr>
          <w:noProof/>
        </w:rPr>
        <w:t>Poor visualizations can easily mislead the public. Among many, common data visualization follies include cluttered numbers and graphics, the use of pie charts, missing context, unclear labelling, and poor colour and shading choices. Figure 2 depicts an example of a visualization with missing context</w:t>
      </w:r>
      <w:r w:rsidR="00FE6723">
        <w:rPr>
          <w:noProof/>
        </w:rPr>
        <w:t xml:space="preserve"> (Foley, 2020)</w:t>
      </w:r>
      <w:r w:rsidR="000369F4">
        <w:rPr>
          <w:noProof/>
        </w:rPr>
        <w:t>. This graphic</w:t>
      </w:r>
      <w:r w:rsidR="00FE6723">
        <w:rPr>
          <w:noProof/>
        </w:rPr>
        <w:t xml:space="preserve">, created by </w:t>
      </w:r>
      <w:r w:rsidR="000369F4">
        <w:rPr>
          <w:noProof/>
        </w:rPr>
        <w:t>the Arkansas Department of Health</w:t>
      </w:r>
      <w:r w:rsidR="00FE6723">
        <w:rPr>
          <w:noProof/>
        </w:rPr>
        <w:t>,</w:t>
      </w:r>
      <w:r w:rsidR="000369F4">
        <w:rPr>
          <w:noProof/>
        </w:rPr>
        <w:t xml:space="preserve"> shows the rate of preexisting health conditions in patients with COVID-19. Since the percentages are low and the scale goes up to 100 percent, it seems like having another condition like hypertension may not be </w:t>
      </w:r>
      <w:r w:rsidR="00FE6723">
        <w:rPr>
          <w:noProof/>
        </w:rPr>
        <w:t xml:space="preserve">that </w:t>
      </w:r>
      <w:r w:rsidR="000369F4">
        <w:rPr>
          <w:noProof/>
        </w:rPr>
        <w:t xml:space="preserve">serious. However, research suggests that </w:t>
      </w:r>
      <w:r w:rsidR="00FE6723">
        <w:rPr>
          <w:noProof/>
        </w:rPr>
        <w:t>individuals</w:t>
      </w:r>
      <w:r w:rsidR="000369F4">
        <w:rPr>
          <w:noProof/>
        </w:rPr>
        <w:t xml:space="preserve"> with preexisting health conditions are more likely to </w:t>
      </w:r>
      <w:r w:rsidR="00CE7AD6">
        <w:rPr>
          <w:noProof/>
        </w:rPr>
        <w:t>experience</w:t>
      </w:r>
      <w:r w:rsidR="000369F4">
        <w:rPr>
          <w:noProof/>
        </w:rPr>
        <w:t xml:space="preserve"> severe cases of COVID-19 (</w:t>
      </w:r>
      <w:r w:rsidR="00FE6723">
        <w:rPr>
          <w:noProof/>
        </w:rPr>
        <w:t>Treskova-Schwarzbach et al., 2021</w:t>
      </w:r>
      <w:r w:rsidR="000369F4">
        <w:rPr>
          <w:noProof/>
        </w:rPr>
        <w:t>). When this graphic was created, Arkansas had approximately 17,000 cases, which means that over 1,700 people who ha</w:t>
      </w:r>
      <w:r w:rsidR="00FE6723">
        <w:rPr>
          <w:noProof/>
        </w:rPr>
        <w:t>d</w:t>
      </w:r>
      <w:r w:rsidR="000369F4">
        <w:rPr>
          <w:noProof/>
        </w:rPr>
        <w:t xml:space="preserve"> COVID-19 may also have</w:t>
      </w:r>
      <w:r w:rsidR="00FE6723">
        <w:rPr>
          <w:noProof/>
        </w:rPr>
        <w:t xml:space="preserve"> had</w:t>
      </w:r>
      <w:r w:rsidR="000369F4">
        <w:rPr>
          <w:noProof/>
        </w:rPr>
        <w:t xml:space="preserve"> hyperthension, and therefore </w:t>
      </w:r>
      <w:r w:rsidR="00FE6723">
        <w:rPr>
          <w:noProof/>
        </w:rPr>
        <w:t xml:space="preserve">were </w:t>
      </w:r>
      <w:r w:rsidR="000369F4">
        <w:rPr>
          <w:noProof/>
        </w:rPr>
        <w:t>at risk of</w:t>
      </w:r>
      <w:r w:rsidR="00FE6723">
        <w:rPr>
          <w:noProof/>
        </w:rPr>
        <w:t xml:space="preserve"> having a</w:t>
      </w:r>
      <w:r w:rsidR="000369F4">
        <w:rPr>
          <w:noProof/>
        </w:rPr>
        <w:t xml:space="preserve"> more severe case that could result in death (</w:t>
      </w:r>
      <w:r w:rsidR="00FE6723">
        <w:rPr>
          <w:noProof/>
        </w:rPr>
        <w:t>Foley, 2020</w:t>
      </w:r>
      <w:r w:rsidR="000369F4">
        <w:rPr>
          <w:noProof/>
        </w:rPr>
        <w:t xml:space="preserve">). </w:t>
      </w:r>
      <w:r w:rsidR="00FE6723">
        <w:rPr>
          <w:noProof/>
        </w:rPr>
        <w:t>Yet, w</w:t>
      </w:r>
      <w:r w:rsidR="000369F4">
        <w:rPr>
          <w:noProof/>
        </w:rPr>
        <w:t xml:space="preserve">ithout </w:t>
      </w:r>
      <w:r w:rsidR="00FE6723">
        <w:rPr>
          <w:noProof/>
        </w:rPr>
        <w:t xml:space="preserve">this </w:t>
      </w:r>
      <w:r w:rsidR="000369F4">
        <w:rPr>
          <w:noProof/>
        </w:rPr>
        <w:t>context</w:t>
      </w:r>
      <w:r w:rsidR="00FE6723">
        <w:rPr>
          <w:noProof/>
        </w:rPr>
        <w:t>, the data and information presented in the visualization is meaningless and misleading.</w:t>
      </w:r>
    </w:p>
    <w:p w14:paraId="4DCACE25" w14:textId="77777777" w:rsidR="00FE6723" w:rsidRDefault="00FE6723" w:rsidP="00903A8B">
      <w:pPr>
        <w:spacing w:line="276" w:lineRule="auto"/>
        <w:rPr>
          <w:noProof/>
        </w:rPr>
      </w:pPr>
    </w:p>
    <w:p w14:paraId="50DD29F1" w14:textId="11008273" w:rsidR="00FE6723" w:rsidRDefault="00FE6723" w:rsidP="00FE6723">
      <w:pPr>
        <w:spacing w:line="360" w:lineRule="auto"/>
        <w:rPr>
          <w:b/>
          <w:bCs/>
          <w:noProof/>
        </w:rPr>
      </w:pPr>
      <w:r>
        <w:rPr>
          <w:b/>
          <w:bCs/>
          <w:noProof/>
        </w:rPr>
        <w:t>Figure 2</w:t>
      </w:r>
    </w:p>
    <w:p w14:paraId="21120EC8" w14:textId="52C71BBB" w:rsidR="00FE6723" w:rsidRPr="00FE6723" w:rsidRDefault="00FE6723" w:rsidP="00FE6723">
      <w:pPr>
        <w:spacing w:line="360" w:lineRule="auto"/>
        <w:rPr>
          <w:i/>
          <w:iCs/>
          <w:noProof/>
        </w:rPr>
      </w:pPr>
      <w:r>
        <w:rPr>
          <w:i/>
          <w:iCs/>
          <w:noProof/>
        </w:rPr>
        <w:t>Rate of Preexisting Health Conditions in Patients with COVID-19</w:t>
      </w:r>
    </w:p>
    <w:p w14:paraId="379AB188" w14:textId="2526CDDC" w:rsidR="00F64C66" w:rsidRDefault="00FE6723" w:rsidP="00903A8B">
      <w:pPr>
        <w:spacing w:line="276" w:lineRule="auto"/>
        <w:rPr>
          <w:b/>
          <w:bCs/>
          <w:i/>
          <w:iCs/>
          <w:noProof/>
        </w:rPr>
      </w:pPr>
      <w:r>
        <w:rPr>
          <w:b/>
          <w:bCs/>
          <w:i/>
          <w:iCs/>
          <w:noProof/>
        </w:rPr>
        <w:drawing>
          <wp:inline distT="0" distB="0" distL="0" distR="0" wp14:anchorId="5CB43E2C" wp14:editId="089E1AE2">
            <wp:extent cx="5662775" cy="1823720"/>
            <wp:effectExtent l="12700" t="12700" r="14605" b="17780"/>
            <wp:docPr id="96490824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08241" name="Picture 1" descr="A screenshot of a graph&#10;&#10;Description automatically generated"/>
                    <pic:cNvPicPr/>
                  </pic:nvPicPr>
                  <pic:blipFill rotWithShape="1">
                    <a:blip r:embed="rId8">
                      <a:extLst>
                        <a:ext uri="{28A0092B-C50C-407E-A947-70E740481C1C}">
                          <a14:useLocalDpi xmlns:a14="http://schemas.microsoft.com/office/drawing/2010/main" val="0"/>
                        </a:ext>
                      </a:extLst>
                    </a:blip>
                    <a:srcRect l="1254" t="1697" b="3627"/>
                    <a:stretch/>
                  </pic:blipFill>
                  <pic:spPr bwMode="auto">
                    <a:xfrm>
                      <a:off x="0" y="0"/>
                      <a:ext cx="5678430" cy="18287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270BED" w14:textId="22EAF115" w:rsidR="00F64C66" w:rsidRPr="00FE6723" w:rsidRDefault="00FE6723" w:rsidP="00903A8B">
      <w:pPr>
        <w:spacing w:line="276" w:lineRule="auto"/>
        <w:rPr>
          <w:noProof/>
        </w:rPr>
      </w:pPr>
      <w:r>
        <w:rPr>
          <w:i/>
          <w:iCs/>
          <w:noProof/>
        </w:rPr>
        <w:t xml:space="preserve">Note. </w:t>
      </w:r>
      <w:r>
        <w:rPr>
          <w:noProof/>
        </w:rPr>
        <w:t>Graphic taken from Foley, 2020.</w:t>
      </w:r>
    </w:p>
    <w:p w14:paraId="0CA24885" w14:textId="77777777" w:rsidR="00F64C66" w:rsidRDefault="00F64C66" w:rsidP="00903A8B">
      <w:pPr>
        <w:spacing w:line="276" w:lineRule="auto"/>
        <w:rPr>
          <w:b/>
          <w:bCs/>
          <w:i/>
          <w:iCs/>
          <w:noProof/>
        </w:rPr>
      </w:pPr>
    </w:p>
    <w:p w14:paraId="7637FC23" w14:textId="69EC3B78" w:rsidR="00764531" w:rsidRPr="00E46ACF" w:rsidRDefault="0025628C" w:rsidP="00903A8B">
      <w:pPr>
        <w:spacing w:line="276" w:lineRule="auto"/>
        <w:rPr>
          <w:noProof/>
        </w:rPr>
      </w:pPr>
      <w:r>
        <w:rPr>
          <w:b/>
          <w:bCs/>
          <w:noProof/>
        </w:rPr>
        <w:tab/>
      </w:r>
      <w:r>
        <w:rPr>
          <w:noProof/>
        </w:rPr>
        <w:t xml:space="preserve">Used properly, colour can make it easier for the audience to understand the information you are communicating. As outlined by van </w:t>
      </w:r>
      <w:r>
        <w:t xml:space="preserve">Biljon &amp; Osei-Bryson (2020), colours should be used to support the relating and differentiating aspects of the visualization. The context of the visualization should also be considered since colours have different meanings in different contexts and cultures. </w:t>
      </w:r>
      <w:r w:rsidR="00E46ACF">
        <w:rPr>
          <w:noProof/>
        </w:rPr>
        <w:t>W</w:t>
      </w:r>
      <w:r>
        <w:rPr>
          <w:noProof/>
        </w:rPr>
        <w:t>hen colour is used incorrectly, it can cause confusion and be misleading.</w:t>
      </w:r>
      <w:r w:rsidR="00764531">
        <w:rPr>
          <w:noProof/>
        </w:rPr>
        <w:t xml:space="preserve"> </w:t>
      </w:r>
      <w:r w:rsidR="00E46ACF">
        <w:rPr>
          <w:noProof/>
        </w:rPr>
        <w:t xml:space="preserve">Some common issues that arise when incorporating colour into visualizations include using too many colours, using familiar colours (e.g., red and green) in surprising ways, using colours with little contrast, and not accounting for viewers who may be colourblind (Stobierski, 2021). </w:t>
      </w:r>
      <w:r w:rsidR="00764531">
        <w:rPr>
          <w:noProof/>
        </w:rPr>
        <w:t xml:space="preserve">Figure 3 </w:t>
      </w:r>
      <w:r w:rsidR="00E46ACF">
        <w:rPr>
          <w:noProof/>
        </w:rPr>
        <w:t xml:space="preserve">provides </w:t>
      </w:r>
      <w:r w:rsidR="00764531">
        <w:rPr>
          <w:noProof/>
        </w:rPr>
        <w:t xml:space="preserve">an example of </w:t>
      </w:r>
      <w:r w:rsidR="00E46ACF">
        <w:rPr>
          <w:noProof/>
        </w:rPr>
        <w:t>i</w:t>
      </w:r>
      <w:r w:rsidR="002065FC">
        <w:rPr>
          <w:noProof/>
        </w:rPr>
        <w:t>mproper</w:t>
      </w:r>
      <w:r w:rsidR="00E46ACF">
        <w:rPr>
          <w:noProof/>
        </w:rPr>
        <w:t xml:space="preserve"> colour use. This figure depicts a US map chart showing virus infection rates from state to state, with colours representing different concentrations of positive cases. Typically, map charts leverage differe</w:t>
      </w:r>
      <w:r w:rsidR="00423836">
        <w:rPr>
          <w:noProof/>
        </w:rPr>
        <w:t>n</w:t>
      </w:r>
      <w:r w:rsidR="00E46ACF">
        <w:rPr>
          <w:noProof/>
        </w:rPr>
        <w:t>t sha</w:t>
      </w:r>
      <w:r w:rsidR="00423836">
        <w:rPr>
          <w:noProof/>
        </w:rPr>
        <w:t>d</w:t>
      </w:r>
      <w:r w:rsidR="00E46ACF">
        <w:rPr>
          <w:noProof/>
        </w:rPr>
        <w:t xml:space="preserve">es within the same colour family. </w:t>
      </w:r>
      <w:r w:rsidR="00423836">
        <w:rPr>
          <w:noProof/>
        </w:rPr>
        <w:t xml:space="preserve">For </w:t>
      </w:r>
      <w:r w:rsidR="00423836">
        <w:rPr>
          <w:noProof/>
        </w:rPr>
        <w:lastRenderedPageBreak/>
        <w:t>instance</w:t>
      </w:r>
      <w:r w:rsidR="00E46ACF">
        <w:rPr>
          <w:noProof/>
        </w:rPr>
        <w:t>, the lighter the shade, the fewer the cases in that state, and the darker the shade, the more cases in that state. However, this example is going against this assumption and uses a darker red colour to indicate fewer cases. Although not inherently wrong, using colour in this surprising way may confuse the viewer</w:t>
      </w:r>
      <w:r w:rsidR="00CE7AD6">
        <w:rPr>
          <w:noProof/>
        </w:rPr>
        <w:t xml:space="preserve"> and decrease the impact of the visualization.</w:t>
      </w:r>
    </w:p>
    <w:p w14:paraId="7F881F56" w14:textId="77777777" w:rsidR="00623071" w:rsidRDefault="00623071" w:rsidP="00764531">
      <w:pPr>
        <w:spacing w:line="360" w:lineRule="auto"/>
        <w:rPr>
          <w:b/>
          <w:bCs/>
          <w:noProof/>
        </w:rPr>
      </w:pPr>
    </w:p>
    <w:p w14:paraId="61B17854" w14:textId="2621F386" w:rsidR="00764531" w:rsidRDefault="00764531" w:rsidP="00764531">
      <w:pPr>
        <w:spacing w:line="360" w:lineRule="auto"/>
        <w:rPr>
          <w:b/>
          <w:bCs/>
          <w:noProof/>
        </w:rPr>
      </w:pPr>
      <w:r>
        <w:rPr>
          <w:b/>
          <w:bCs/>
          <w:noProof/>
        </w:rPr>
        <w:t>Figure 3</w:t>
      </w:r>
    </w:p>
    <w:p w14:paraId="3FAE4908" w14:textId="0373F5A7" w:rsidR="00764531" w:rsidRPr="00764531" w:rsidRDefault="00764531" w:rsidP="00764531">
      <w:pPr>
        <w:spacing w:line="360" w:lineRule="auto"/>
        <w:rPr>
          <w:i/>
          <w:iCs/>
          <w:noProof/>
        </w:rPr>
      </w:pPr>
      <w:r>
        <w:rPr>
          <w:i/>
          <w:iCs/>
          <w:noProof/>
        </w:rPr>
        <w:t>US Map Depicting COVID-19 Virus Infection Rates from State to State</w:t>
      </w:r>
    </w:p>
    <w:p w14:paraId="40E0C9DC" w14:textId="77777777" w:rsidR="00E46ACF" w:rsidRDefault="00764531" w:rsidP="00E46ACF">
      <w:pPr>
        <w:spacing w:line="276" w:lineRule="auto"/>
        <w:rPr>
          <w:b/>
          <w:bCs/>
          <w:i/>
          <w:iCs/>
          <w:noProof/>
        </w:rPr>
      </w:pPr>
      <w:r>
        <w:rPr>
          <w:b/>
          <w:bCs/>
          <w:i/>
          <w:iCs/>
          <w:noProof/>
        </w:rPr>
        <w:drawing>
          <wp:inline distT="0" distB="0" distL="0" distR="0" wp14:anchorId="3A307FE4" wp14:editId="0FF25440">
            <wp:extent cx="3139440" cy="3139440"/>
            <wp:effectExtent l="0" t="0" r="0" b="0"/>
            <wp:docPr id="372355699" name="Picture 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55699" name="Picture 2" descr="A map of the united stat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157304" cy="3157304"/>
                    </a:xfrm>
                    <a:prstGeom prst="rect">
                      <a:avLst/>
                    </a:prstGeom>
                  </pic:spPr>
                </pic:pic>
              </a:graphicData>
            </a:graphic>
          </wp:inline>
        </w:drawing>
      </w:r>
      <w:r w:rsidR="00E46ACF">
        <w:rPr>
          <w:b/>
          <w:bCs/>
          <w:i/>
          <w:iCs/>
          <w:noProof/>
        </w:rPr>
        <w:br/>
      </w:r>
      <w:r w:rsidR="00E46ACF">
        <w:rPr>
          <w:i/>
          <w:iCs/>
          <w:noProof/>
        </w:rPr>
        <w:t xml:space="preserve">Note. </w:t>
      </w:r>
      <w:r w:rsidR="00E46ACF">
        <w:rPr>
          <w:noProof/>
        </w:rPr>
        <w:t>Graphic taken form Stobierski, 2021.</w:t>
      </w:r>
    </w:p>
    <w:p w14:paraId="24785FD9" w14:textId="77777777" w:rsidR="00E46ACF" w:rsidRDefault="00E46ACF" w:rsidP="00E46ACF">
      <w:pPr>
        <w:spacing w:line="276" w:lineRule="auto"/>
        <w:rPr>
          <w:b/>
          <w:bCs/>
          <w:i/>
          <w:iCs/>
          <w:noProof/>
        </w:rPr>
      </w:pPr>
    </w:p>
    <w:p w14:paraId="5FD6F447" w14:textId="0AACDBC9" w:rsidR="002F1995" w:rsidRPr="00E46ACF" w:rsidRDefault="002769CB" w:rsidP="00E46ACF">
      <w:pPr>
        <w:spacing w:line="276" w:lineRule="auto"/>
        <w:rPr>
          <w:b/>
          <w:bCs/>
          <w:i/>
          <w:iCs/>
          <w:noProof/>
        </w:rPr>
      </w:pPr>
      <w:r>
        <w:rPr>
          <w:b/>
          <w:bCs/>
          <w:noProof/>
        </w:rPr>
        <w:t>Conclusions and Future Directions</w:t>
      </w:r>
    </w:p>
    <w:p w14:paraId="0469B880" w14:textId="77777777" w:rsidR="00EB72EC" w:rsidRDefault="00F64C66" w:rsidP="00E46ACF">
      <w:pPr>
        <w:spacing w:line="276" w:lineRule="auto"/>
        <w:rPr>
          <w:noProof/>
        </w:rPr>
      </w:pPr>
      <w:r>
        <w:rPr>
          <w:noProof/>
        </w:rPr>
        <w:tab/>
      </w:r>
    </w:p>
    <w:p w14:paraId="6E0485C9" w14:textId="1DD443A8" w:rsidR="005E5D36" w:rsidRDefault="00F64C66" w:rsidP="00E633BA">
      <w:pPr>
        <w:spacing w:line="276" w:lineRule="auto"/>
        <w:ind w:firstLine="720"/>
        <w:rPr>
          <w:noProof/>
        </w:rPr>
      </w:pPr>
      <w:r>
        <w:rPr>
          <w:noProof/>
        </w:rPr>
        <w:t>Th</w:t>
      </w:r>
      <w:r w:rsidR="00EB72EC">
        <w:rPr>
          <w:noProof/>
        </w:rPr>
        <w:t>e current</w:t>
      </w:r>
      <w:r>
        <w:rPr>
          <w:noProof/>
        </w:rPr>
        <w:t xml:space="preserve"> paper highlighted the importance of </w:t>
      </w:r>
      <w:r w:rsidR="00623071">
        <w:rPr>
          <w:noProof/>
        </w:rPr>
        <w:t xml:space="preserve">using </w:t>
      </w:r>
      <w:r>
        <w:rPr>
          <w:noProof/>
        </w:rPr>
        <w:t>knowledge visualization for health</w:t>
      </w:r>
      <w:r w:rsidR="00EB72EC">
        <w:rPr>
          <w:noProof/>
        </w:rPr>
        <w:t>-related</w:t>
      </w:r>
      <w:r>
        <w:rPr>
          <w:noProof/>
        </w:rPr>
        <w:t xml:space="preserve"> knowledge translation.</w:t>
      </w:r>
      <w:r w:rsidR="00EB72EC">
        <w:rPr>
          <w:noProof/>
        </w:rPr>
        <w:t xml:space="preserve"> In th</w:t>
      </w:r>
      <w:r w:rsidR="00623071">
        <w:rPr>
          <w:noProof/>
        </w:rPr>
        <w:t xml:space="preserve">is </w:t>
      </w:r>
      <w:r w:rsidR="00EB72EC">
        <w:rPr>
          <w:noProof/>
        </w:rPr>
        <w:t xml:space="preserve">current age of misinformation, it is important to leverage simple and accessible </w:t>
      </w:r>
      <w:r w:rsidR="00D61D66">
        <w:rPr>
          <w:noProof/>
        </w:rPr>
        <w:t>visualizations</w:t>
      </w:r>
      <w:r w:rsidR="00EB72EC">
        <w:rPr>
          <w:noProof/>
        </w:rPr>
        <w:t xml:space="preserve"> when communicating evidence-based scientific knowledge. Effective dissem</w:t>
      </w:r>
      <w:r w:rsidR="005D5D06">
        <w:rPr>
          <w:noProof/>
        </w:rPr>
        <w:t>i</w:t>
      </w:r>
      <w:r w:rsidR="00EB72EC">
        <w:rPr>
          <w:noProof/>
        </w:rPr>
        <w:t>nation of health</w:t>
      </w:r>
      <w:r w:rsidR="00D61D66">
        <w:rPr>
          <w:noProof/>
        </w:rPr>
        <w:t>-related</w:t>
      </w:r>
      <w:r w:rsidR="00EB72EC">
        <w:rPr>
          <w:noProof/>
        </w:rPr>
        <w:t xml:space="preserve"> research findings via social media platforms relies heavily on the use of </w:t>
      </w:r>
      <w:r w:rsidR="00D61D66">
        <w:rPr>
          <w:noProof/>
        </w:rPr>
        <w:t>graphics</w:t>
      </w:r>
      <w:r w:rsidR="00EB72EC">
        <w:rPr>
          <w:noProof/>
        </w:rPr>
        <w:t xml:space="preserve"> to summarize the data. Altmetric is a tool used to track online engagement to reveal how and where research is making an impact (Altmetric, 2023). </w:t>
      </w:r>
      <w:r w:rsidR="00EB72EC" w:rsidRPr="005D5D06">
        <w:rPr>
          <w:noProof/>
        </w:rPr>
        <w:t xml:space="preserve">Currently, </w:t>
      </w:r>
      <w:r w:rsidR="00D61D66" w:rsidRPr="005D5D06">
        <w:rPr>
          <w:noProof/>
        </w:rPr>
        <w:t>Altmetric is</w:t>
      </w:r>
      <w:r w:rsidR="00EB72EC" w:rsidRPr="005D5D06">
        <w:rPr>
          <w:noProof/>
        </w:rPr>
        <w:t xml:space="preserve"> </w:t>
      </w:r>
      <w:r w:rsidR="007B0107" w:rsidRPr="005D5D06">
        <w:rPr>
          <w:noProof/>
        </w:rPr>
        <w:t>solely</w:t>
      </w:r>
      <w:r w:rsidR="00EB72EC" w:rsidRPr="005D5D06">
        <w:rPr>
          <w:noProof/>
        </w:rPr>
        <w:t xml:space="preserve"> used to quantify the impact research articles and reports make. Future research should examine how we can leverage such tools to track the impact of graphics and data visualization techniques for </w:t>
      </w:r>
      <w:r w:rsidR="005D5D06" w:rsidRPr="005D5D06">
        <w:rPr>
          <w:noProof/>
        </w:rPr>
        <w:t>KT</w:t>
      </w:r>
      <w:r w:rsidR="00EB72EC" w:rsidRPr="005D5D06">
        <w:rPr>
          <w:noProof/>
        </w:rPr>
        <w:t>.</w:t>
      </w:r>
      <w:r w:rsidR="005E5D36" w:rsidRPr="005D5D06">
        <w:rPr>
          <w:noProof/>
        </w:rPr>
        <w:t xml:space="preserve"> Moreover, studies should investigate whether certain design criteria increase or decrease </w:t>
      </w:r>
      <w:r w:rsidR="007B0107" w:rsidRPr="005D5D06">
        <w:rPr>
          <w:noProof/>
        </w:rPr>
        <w:t xml:space="preserve">the impact visualizations make </w:t>
      </w:r>
      <w:r w:rsidR="005E5D36" w:rsidRPr="005D5D06">
        <w:rPr>
          <w:noProof/>
        </w:rPr>
        <w:t xml:space="preserve">across </w:t>
      </w:r>
      <w:r w:rsidR="007B0107" w:rsidRPr="005D5D06">
        <w:rPr>
          <w:noProof/>
        </w:rPr>
        <w:t xml:space="preserve">different </w:t>
      </w:r>
      <w:r w:rsidR="005E5D36" w:rsidRPr="005D5D06">
        <w:rPr>
          <w:noProof/>
        </w:rPr>
        <w:t xml:space="preserve">social media platforms. </w:t>
      </w:r>
      <w:r w:rsidR="00E633BA" w:rsidRPr="005D5D06">
        <w:rPr>
          <w:noProof/>
        </w:rPr>
        <w:t xml:space="preserve">Understanding </w:t>
      </w:r>
      <w:r w:rsidR="00193E69" w:rsidRPr="005D5D06">
        <w:rPr>
          <w:noProof/>
        </w:rPr>
        <w:t xml:space="preserve">this </w:t>
      </w:r>
      <w:r w:rsidR="00E633BA" w:rsidRPr="005D5D06">
        <w:rPr>
          <w:noProof/>
        </w:rPr>
        <w:t xml:space="preserve">impact </w:t>
      </w:r>
      <w:r w:rsidR="00193E69" w:rsidRPr="005D5D06">
        <w:rPr>
          <w:noProof/>
        </w:rPr>
        <w:t xml:space="preserve">could pave the way for </w:t>
      </w:r>
      <w:r w:rsidR="005D5D06" w:rsidRPr="005D5D06">
        <w:rPr>
          <w:noProof/>
        </w:rPr>
        <w:t>improving</w:t>
      </w:r>
      <w:r w:rsidR="00193E69" w:rsidRPr="005D5D06">
        <w:rPr>
          <w:noProof/>
        </w:rPr>
        <w:t xml:space="preserve"> KT, ultimately increas</w:t>
      </w:r>
      <w:r w:rsidR="005D5D06" w:rsidRPr="005D5D06">
        <w:rPr>
          <w:noProof/>
        </w:rPr>
        <w:t>ing</w:t>
      </w:r>
      <w:r w:rsidR="00193E69" w:rsidRPr="005D5D06">
        <w:rPr>
          <w:noProof/>
        </w:rPr>
        <w:t xml:space="preserve"> health literacy</w:t>
      </w:r>
      <w:r w:rsidR="005D5D06" w:rsidRPr="005D5D06">
        <w:rPr>
          <w:noProof/>
        </w:rPr>
        <w:t xml:space="preserve"> and decreasing the proliferation of misinformation.</w:t>
      </w:r>
    </w:p>
    <w:p w14:paraId="47BB77DA" w14:textId="77777777" w:rsidR="00193E69" w:rsidRPr="00FE6723" w:rsidRDefault="00193E69" w:rsidP="00E633BA">
      <w:pPr>
        <w:spacing w:line="276" w:lineRule="auto"/>
        <w:ind w:firstLine="720"/>
        <w:rPr>
          <w:noProof/>
        </w:rPr>
      </w:pPr>
    </w:p>
    <w:p w14:paraId="6CC7E942" w14:textId="4D68019F" w:rsidR="00642A8A" w:rsidRDefault="00642A8A" w:rsidP="00642A8A">
      <w:pPr>
        <w:spacing w:line="480" w:lineRule="auto"/>
        <w:jc w:val="center"/>
        <w:rPr>
          <w:b/>
          <w:bCs/>
        </w:rPr>
      </w:pPr>
      <w:r>
        <w:rPr>
          <w:b/>
          <w:bCs/>
          <w:noProof/>
        </w:rPr>
        <w:lastRenderedPageBreak/>
        <w:t>References</w:t>
      </w:r>
    </w:p>
    <w:p w14:paraId="4B7A6B68" w14:textId="7676B8DF" w:rsidR="00D11C55" w:rsidRDefault="00D11C55" w:rsidP="00494E7A">
      <w:pPr>
        <w:pStyle w:val="Bibliography"/>
        <w:spacing w:line="360" w:lineRule="auto"/>
        <w:rPr>
          <w:rFonts w:ascii="Times New Roman" w:hAnsi="Times New Roman" w:cs="Times New Roman"/>
          <w:lang w:val="en-US"/>
        </w:rPr>
      </w:pPr>
      <w:proofErr w:type="spellStart"/>
      <w:r w:rsidRPr="00D11C55">
        <w:rPr>
          <w:rFonts w:ascii="Times New Roman" w:hAnsi="Times New Roman" w:cs="Times New Roman"/>
          <w:lang w:val="en-US"/>
        </w:rPr>
        <w:t>Abudiyab</w:t>
      </w:r>
      <w:proofErr w:type="spellEnd"/>
      <w:r w:rsidRPr="00D11C55">
        <w:rPr>
          <w:rFonts w:ascii="Times New Roman" w:hAnsi="Times New Roman" w:cs="Times New Roman"/>
          <w:lang w:val="en-US"/>
        </w:rPr>
        <w:t xml:space="preserve">, N. A., &amp; </w:t>
      </w:r>
      <w:proofErr w:type="spellStart"/>
      <w:r w:rsidRPr="00D11C55">
        <w:rPr>
          <w:rFonts w:ascii="Times New Roman" w:hAnsi="Times New Roman" w:cs="Times New Roman"/>
          <w:lang w:val="en-US"/>
        </w:rPr>
        <w:t>Alanazi</w:t>
      </w:r>
      <w:proofErr w:type="spellEnd"/>
      <w:r w:rsidRPr="00D11C55">
        <w:rPr>
          <w:rFonts w:ascii="Times New Roman" w:hAnsi="Times New Roman" w:cs="Times New Roman"/>
          <w:lang w:val="en-US"/>
        </w:rPr>
        <w:t>, A. T. (</w:t>
      </w:r>
      <w:r w:rsidR="00CC0180">
        <w:rPr>
          <w:rFonts w:ascii="Times New Roman" w:hAnsi="Times New Roman" w:cs="Times New Roman"/>
          <w:lang w:val="en-US"/>
        </w:rPr>
        <w:t>2022</w:t>
      </w:r>
      <w:r w:rsidRPr="00D11C55">
        <w:rPr>
          <w:rFonts w:ascii="Times New Roman" w:hAnsi="Times New Roman" w:cs="Times New Roman"/>
          <w:lang w:val="en-US"/>
        </w:rPr>
        <w:t xml:space="preserve">). Visualization </w:t>
      </w:r>
      <w:r w:rsidR="00CC0180">
        <w:rPr>
          <w:rFonts w:ascii="Times New Roman" w:hAnsi="Times New Roman" w:cs="Times New Roman"/>
          <w:lang w:val="en-US"/>
        </w:rPr>
        <w:t>t</w:t>
      </w:r>
      <w:r w:rsidRPr="00D11C55">
        <w:rPr>
          <w:rFonts w:ascii="Times New Roman" w:hAnsi="Times New Roman" w:cs="Times New Roman"/>
          <w:lang w:val="en-US"/>
        </w:rPr>
        <w:t xml:space="preserve">echniques in </w:t>
      </w:r>
      <w:r w:rsidR="00CC0180">
        <w:rPr>
          <w:rFonts w:ascii="Times New Roman" w:hAnsi="Times New Roman" w:cs="Times New Roman"/>
          <w:lang w:val="en-US"/>
        </w:rPr>
        <w:t>h</w:t>
      </w:r>
      <w:r w:rsidRPr="00D11C55">
        <w:rPr>
          <w:rFonts w:ascii="Times New Roman" w:hAnsi="Times New Roman" w:cs="Times New Roman"/>
          <w:lang w:val="en-US"/>
        </w:rPr>
        <w:t xml:space="preserve">ealthcare </w:t>
      </w:r>
      <w:r w:rsidR="00CC0180">
        <w:rPr>
          <w:rFonts w:ascii="Times New Roman" w:hAnsi="Times New Roman" w:cs="Times New Roman"/>
          <w:lang w:val="en-US"/>
        </w:rPr>
        <w:t>a</w:t>
      </w:r>
      <w:r w:rsidRPr="00D11C55">
        <w:rPr>
          <w:rFonts w:ascii="Times New Roman" w:hAnsi="Times New Roman" w:cs="Times New Roman"/>
          <w:lang w:val="en-US"/>
        </w:rPr>
        <w:t xml:space="preserve">pplications: A </w:t>
      </w:r>
      <w:r w:rsidR="00CC0180">
        <w:rPr>
          <w:rFonts w:ascii="Times New Roman" w:hAnsi="Times New Roman" w:cs="Times New Roman"/>
          <w:lang w:val="en-US"/>
        </w:rPr>
        <w:t>n</w:t>
      </w:r>
      <w:r w:rsidRPr="00D11C55">
        <w:rPr>
          <w:rFonts w:ascii="Times New Roman" w:hAnsi="Times New Roman" w:cs="Times New Roman"/>
          <w:lang w:val="en-US"/>
        </w:rPr>
        <w:t xml:space="preserve">arrative </w:t>
      </w:r>
      <w:r w:rsidR="00CC0180">
        <w:rPr>
          <w:rFonts w:ascii="Times New Roman" w:hAnsi="Times New Roman" w:cs="Times New Roman"/>
          <w:lang w:val="en-US"/>
        </w:rPr>
        <w:t>r</w:t>
      </w:r>
      <w:r w:rsidRPr="00D11C55">
        <w:rPr>
          <w:rFonts w:ascii="Times New Roman" w:hAnsi="Times New Roman" w:cs="Times New Roman"/>
          <w:lang w:val="en-US"/>
        </w:rPr>
        <w:t xml:space="preserve">eview. </w:t>
      </w:r>
      <w:proofErr w:type="spellStart"/>
      <w:r w:rsidRPr="00D11C55">
        <w:rPr>
          <w:rFonts w:ascii="Times New Roman" w:hAnsi="Times New Roman" w:cs="Times New Roman"/>
          <w:i/>
          <w:iCs/>
          <w:lang w:val="en-US"/>
        </w:rPr>
        <w:t>Cureus</w:t>
      </w:r>
      <w:proofErr w:type="spellEnd"/>
      <w:r w:rsidRPr="00D11C55">
        <w:rPr>
          <w:rFonts w:ascii="Times New Roman" w:hAnsi="Times New Roman" w:cs="Times New Roman"/>
          <w:lang w:val="en-US"/>
        </w:rPr>
        <w:t xml:space="preserve">, </w:t>
      </w:r>
      <w:r w:rsidRPr="00D11C55">
        <w:rPr>
          <w:rFonts w:ascii="Times New Roman" w:hAnsi="Times New Roman" w:cs="Times New Roman"/>
          <w:i/>
          <w:iCs/>
          <w:lang w:val="en-US"/>
        </w:rPr>
        <w:t>14</w:t>
      </w:r>
      <w:r w:rsidRPr="00D11C55">
        <w:rPr>
          <w:rFonts w:ascii="Times New Roman" w:hAnsi="Times New Roman" w:cs="Times New Roman"/>
          <w:lang w:val="en-US"/>
        </w:rPr>
        <w:t>(11), e31355. https://doi.org/10.7759/cureus.31355</w:t>
      </w:r>
    </w:p>
    <w:p w14:paraId="0B6B7207" w14:textId="25BB9754" w:rsidR="00D11C55" w:rsidRPr="00D11C55" w:rsidRDefault="00D11C55" w:rsidP="00494E7A">
      <w:pPr>
        <w:spacing w:line="360" w:lineRule="auto"/>
        <w:rPr>
          <w:noProof/>
        </w:rPr>
      </w:pPr>
      <w:r>
        <w:rPr>
          <w:noProof/>
        </w:rPr>
        <w:t xml:space="preserve">Altmetric. (2023). </w:t>
      </w:r>
      <w:r>
        <w:rPr>
          <w:i/>
          <w:iCs/>
          <w:noProof/>
        </w:rPr>
        <w:t xml:space="preserve">What are altmetrics? </w:t>
      </w:r>
      <w:r w:rsidRPr="00D11C55">
        <w:rPr>
          <w:noProof/>
        </w:rPr>
        <w:t>https://www.altmetric.com/about-us/what-are-altmetrics/</w:t>
      </w:r>
      <w:r>
        <w:rPr>
          <w:i/>
          <w:iCs/>
          <w:noProof/>
        </w:rPr>
        <w:t xml:space="preserve"> </w:t>
      </w:r>
    </w:p>
    <w:p w14:paraId="327747BA" w14:textId="3007C438" w:rsidR="00D11C55" w:rsidRPr="00D11C55" w:rsidRDefault="00D11C55" w:rsidP="00494E7A">
      <w:pPr>
        <w:pStyle w:val="Bibliography"/>
        <w:spacing w:line="360" w:lineRule="auto"/>
        <w:rPr>
          <w:rFonts w:ascii="Times New Roman" w:hAnsi="Times New Roman" w:cs="Times New Roman"/>
          <w:lang w:val="en-US"/>
        </w:rPr>
      </w:pPr>
      <w:r w:rsidRPr="00D11C55">
        <w:rPr>
          <w:rFonts w:ascii="Times New Roman" w:hAnsi="Times New Roman" w:cs="Times New Roman"/>
          <w:lang w:val="en-US"/>
        </w:rPr>
        <w:t>Boehmer, T. K.</w:t>
      </w:r>
      <w:r w:rsidR="00922DC1">
        <w:rPr>
          <w:rFonts w:ascii="Times New Roman" w:hAnsi="Times New Roman" w:cs="Times New Roman"/>
          <w:lang w:val="en-US"/>
        </w:rPr>
        <w:t xml:space="preserve">, </w:t>
      </w:r>
      <w:proofErr w:type="spellStart"/>
      <w:r w:rsidR="00922DC1">
        <w:rPr>
          <w:rFonts w:ascii="Times New Roman" w:hAnsi="Times New Roman" w:cs="Times New Roman"/>
          <w:lang w:val="en-US"/>
        </w:rPr>
        <w:t>Kompaniyets</w:t>
      </w:r>
      <w:proofErr w:type="spellEnd"/>
      <w:r w:rsidR="00922DC1">
        <w:rPr>
          <w:rFonts w:ascii="Times New Roman" w:hAnsi="Times New Roman" w:cs="Times New Roman"/>
          <w:lang w:val="en-US"/>
        </w:rPr>
        <w:t xml:space="preserve">, L., </w:t>
      </w:r>
      <w:proofErr w:type="spellStart"/>
      <w:r w:rsidR="00922DC1">
        <w:rPr>
          <w:rFonts w:ascii="Times New Roman" w:hAnsi="Times New Roman" w:cs="Times New Roman"/>
          <w:lang w:val="en-US"/>
        </w:rPr>
        <w:t>Lavery</w:t>
      </w:r>
      <w:proofErr w:type="spellEnd"/>
      <w:r w:rsidR="00922DC1">
        <w:rPr>
          <w:rFonts w:ascii="Times New Roman" w:hAnsi="Times New Roman" w:cs="Times New Roman"/>
          <w:lang w:val="en-US"/>
        </w:rPr>
        <w:t xml:space="preserve">, A. M., Hsu, J., </w:t>
      </w:r>
      <w:r w:rsidR="005E7852">
        <w:rPr>
          <w:rFonts w:ascii="Times New Roman" w:hAnsi="Times New Roman" w:cs="Times New Roman"/>
          <w:lang w:val="en-US"/>
        </w:rPr>
        <w:t xml:space="preserve">Jo, J. Y., Yusuf, H., Romano, S. D., </w:t>
      </w:r>
      <w:proofErr w:type="spellStart"/>
      <w:r w:rsidR="005E7852">
        <w:rPr>
          <w:rFonts w:ascii="Times New Roman" w:hAnsi="Times New Roman" w:cs="Times New Roman"/>
          <w:lang w:val="en-US"/>
        </w:rPr>
        <w:t>Gundlapalli</w:t>
      </w:r>
      <w:proofErr w:type="spellEnd"/>
      <w:r w:rsidR="005E7852">
        <w:rPr>
          <w:rFonts w:ascii="Times New Roman" w:hAnsi="Times New Roman" w:cs="Times New Roman"/>
          <w:lang w:val="en-US"/>
        </w:rPr>
        <w:t xml:space="preserve">, A. V., Oster, M. E., &amp; Harris, A. M. </w:t>
      </w:r>
      <w:r w:rsidRPr="00D11C55">
        <w:rPr>
          <w:rFonts w:ascii="Times New Roman" w:hAnsi="Times New Roman" w:cs="Times New Roman"/>
          <w:lang w:val="en-US"/>
        </w:rPr>
        <w:t xml:space="preserve">(2021). Association </w:t>
      </w:r>
      <w:r w:rsidR="00CC0180">
        <w:rPr>
          <w:rFonts w:ascii="Times New Roman" w:hAnsi="Times New Roman" w:cs="Times New Roman"/>
          <w:lang w:val="en-US"/>
        </w:rPr>
        <w:t>b</w:t>
      </w:r>
      <w:r w:rsidRPr="00D11C55">
        <w:rPr>
          <w:rFonts w:ascii="Times New Roman" w:hAnsi="Times New Roman" w:cs="Times New Roman"/>
          <w:lang w:val="en-US"/>
        </w:rPr>
        <w:t xml:space="preserve">etween COVID-19 and </w:t>
      </w:r>
      <w:r w:rsidR="00CC0180">
        <w:rPr>
          <w:rFonts w:ascii="Times New Roman" w:hAnsi="Times New Roman" w:cs="Times New Roman"/>
          <w:lang w:val="en-US"/>
        </w:rPr>
        <w:t>m</w:t>
      </w:r>
      <w:r w:rsidRPr="00D11C55">
        <w:rPr>
          <w:rFonts w:ascii="Times New Roman" w:hAnsi="Times New Roman" w:cs="Times New Roman"/>
          <w:lang w:val="en-US"/>
        </w:rPr>
        <w:t xml:space="preserve">yocarditis </w:t>
      </w:r>
      <w:r w:rsidR="00CC0180">
        <w:rPr>
          <w:rFonts w:ascii="Times New Roman" w:hAnsi="Times New Roman" w:cs="Times New Roman"/>
          <w:lang w:val="en-US"/>
        </w:rPr>
        <w:t>u</w:t>
      </w:r>
      <w:r w:rsidRPr="00D11C55">
        <w:rPr>
          <w:rFonts w:ascii="Times New Roman" w:hAnsi="Times New Roman" w:cs="Times New Roman"/>
          <w:lang w:val="en-US"/>
        </w:rPr>
        <w:t xml:space="preserve">sing </w:t>
      </w:r>
      <w:r w:rsidR="00CC0180">
        <w:rPr>
          <w:rFonts w:ascii="Times New Roman" w:hAnsi="Times New Roman" w:cs="Times New Roman"/>
          <w:lang w:val="en-US"/>
        </w:rPr>
        <w:t>h</w:t>
      </w:r>
      <w:r w:rsidRPr="00D11C55">
        <w:rPr>
          <w:rFonts w:ascii="Times New Roman" w:hAnsi="Times New Roman" w:cs="Times New Roman"/>
          <w:lang w:val="en-US"/>
        </w:rPr>
        <w:t>ospital-</w:t>
      </w:r>
      <w:r w:rsidR="00CC0180">
        <w:rPr>
          <w:rFonts w:ascii="Times New Roman" w:hAnsi="Times New Roman" w:cs="Times New Roman"/>
          <w:lang w:val="en-US"/>
        </w:rPr>
        <w:t>b</w:t>
      </w:r>
      <w:r w:rsidRPr="00D11C55">
        <w:rPr>
          <w:rFonts w:ascii="Times New Roman" w:hAnsi="Times New Roman" w:cs="Times New Roman"/>
          <w:lang w:val="en-US"/>
        </w:rPr>
        <w:t xml:space="preserve">ased </w:t>
      </w:r>
      <w:r w:rsidR="00CC0180">
        <w:rPr>
          <w:rFonts w:ascii="Times New Roman" w:hAnsi="Times New Roman" w:cs="Times New Roman"/>
          <w:lang w:val="en-US"/>
        </w:rPr>
        <w:t>a</w:t>
      </w:r>
      <w:r w:rsidRPr="00D11C55">
        <w:rPr>
          <w:rFonts w:ascii="Times New Roman" w:hAnsi="Times New Roman" w:cs="Times New Roman"/>
          <w:lang w:val="en-US"/>
        </w:rPr>
        <w:t xml:space="preserve">dministrative </w:t>
      </w:r>
      <w:r w:rsidR="00CC0180">
        <w:rPr>
          <w:rFonts w:ascii="Times New Roman" w:hAnsi="Times New Roman" w:cs="Times New Roman"/>
          <w:lang w:val="en-US"/>
        </w:rPr>
        <w:t>d</w:t>
      </w:r>
      <w:r w:rsidRPr="00D11C55">
        <w:rPr>
          <w:rFonts w:ascii="Times New Roman" w:hAnsi="Times New Roman" w:cs="Times New Roman"/>
          <w:lang w:val="en-US"/>
        </w:rPr>
        <w:t xml:space="preserve">ata—United States, March 2020–January 2021. </w:t>
      </w:r>
      <w:r w:rsidRPr="00D11C55">
        <w:rPr>
          <w:rFonts w:ascii="Times New Roman" w:hAnsi="Times New Roman" w:cs="Times New Roman"/>
          <w:i/>
          <w:iCs/>
          <w:lang w:val="en-US"/>
        </w:rPr>
        <w:t>MMWR. Morbidity and Mortality Weekly Report</w:t>
      </w:r>
      <w:r w:rsidRPr="00D11C55">
        <w:rPr>
          <w:rFonts w:ascii="Times New Roman" w:hAnsi="Times New Roman" w:cs="Times New Roman"/>
          <w:lang w:val="en-US"/>
        </w:rPr>
        <w:t xml:space="preserve">, </w:t>
      </w:r>
      <w:r w:rsidRPr="00D11C55">
        <w:rPr>
          <w:rFonts w:ascii="Times New Roman" w:hAnsi="Times New Roman" w:cs="Times New Roman"/>
          <w:i/>
          <w:iCs/>
          <w:lang w:val="en-US"/>
        </w:rPr>
        <w:t>70</w:t>
      </w:r>
      <w:r w:rsidRPr="00D11C55">
        <w:rPr>
          <w:rFonts w:ascii="Times New Roman" w:hAnsi="Times New Roman" w:cs="Times New Roman"/>
          <w:lang w:val="en-US"/>
        </w:rPr>
        <w:t>. https://doi.org/10.15585/mmwr.mm7035e5</w:t>
      </w:r>
    </w:p>
    <w:p w14:paraId="25078755" w14:textId="375EFAF1" w:rsidR="00D11C55" w:rsidRPr="00D11C55" w:rsidRDefault="00D11C55" w:rsidP="00494E7A">
      <w:pPr>
        <w:pStyle w:val="Bibliography"/>
        <w:spacing w:line="360" w:lineRule="auto"/>
        <w:rPr>
          <w:rFonts w:ascii="Times New Roman" w:hAnsi="Times New Roman" w:cs="Times New Roman"/>
          <w:lang w:val="en-US"/>
        </w:rPr>
      </w:pPr>
      <w:r w:rsidRPr="00D11C55">
        <w:rPr>
          <w:rFonts w:ascii="Times New Roman" w:hAnsi="Times New Roman" w:cs="Times New Roman"/>
          <w:lang w:val="en-US"/>
        </w:rPr>
        <w:t xml:space="preserve">Burkhard, R. A. (2005). Towards a </w:t>
      </w:r>
      <w:r w:rsidR="00CC0180">
        <w:rPr>
          <w:rFonts w:ascii="Times New Roman" w:hAnsi="Times New Roman" w:cs="Times New Roman"/>
          <w:lang w:val="en-US"/>
        </w:rPr>
        <w:t>f</w:t>
      </w:r>
      <w:r w:rsidRPr="00D11C55">
        <w:rPr>
          <w:rFonts w:ascii="Times New Roman" w:hAnsi="Times New Roman" w:cs="Times New Roman"/>
          <w:lang w:val="en-US"/>
        </w:rPr>
        <w:t xml:space="preserve">ramework and a </w:t>
      </w:r>
      <w:r w:rsidR="00CC0180">
        <w:rPr>
          <w:rFonts w:ascii="Times New Roman" w:hAnsi="Times New Roman" w:cs="Times New Roman"/>
          <w:lang w:val="en-US"/>
        </w:rPr>
        <w:t>m</w:t>
      </w:r>
      <w:r w:rsidRPr="00D11C55">
        <w:rPr>
          <w:rFonts w:ascii="Times New Roman" w:hAnsi="Times New Roman" w:cs="Times New Roman"/>
          <w:lang w:val="en-US"/>
        </w:rPr>
        <w:t xml:space="preserve">odel for </w:t>
      </w:r>
      <w:r w:rsidR="00CC0180">
        <w:rPr>
          <w:rFonts w:ascii="Times New Roman" w:hAnsi="Times New Roman" w:cs="Times New Roman"/>
          <w:lang w:val="en-US"/>
        </w:rPr>
        <w:t>k</w:t>
      </w:r>
      <w:r w:rsidRPr="00D11C55">
        <w:rPr>
          <w:rFonts w:ascii="Times New Roman" w:hAnsi="Times New Roman" w:cs="Times New Roman"/>
          <w:lang w:val="en-US"/>
        </w:rPr>
        <w:t xml:space="preserve">nowledge </w:t>
      </w:r>
      <w:r w:rsidR="00CC0180">
        <w:rPr>
          <w:rFonts w:ascii="Times New Roman" w:hAnsi="Times New Roman" w:cs="Times New Roman"/>
          <w:lang w:val="en-US"/>
        </w:rPr>
        <w:t>v</w:t>
      </w:r>
      <w:r w:rsidRPr="00D11C55">
        <w:rPr>
          <w:rFonts w:ascii="Times New Roman" w:hAnsi="Times New Roman" w:cs="Times New Roman"/>
          <w:lang w:val="en-US"/>
        </w:rPr>
        <w:t xml:space="preserve">isualization: Synergies </w:t>
      </w:r>
      <w:r w:rsidR="00CC0180">
        <w:rPr>
          <w:rFonts w:ascii="Times New Roman" w:hAnsi="Times New Roman" w:cs="Times New Roman"/>
          <w:lang w:val="en-US"/>
        </w:rPr>
        <w:t>b</w:t>
      </w:r>
      <w:r w:rsidRPr="00D11C55">
        <w:rPr>
          <w:rFonts w:ascii="Times New Roman" w:hAnsi="Times New Roman" w:cs="Times New Roman"/>
          <w:lang w:val="en-US"/>
        </w:rPr>
        <w:t xml:space="preserve">etween </w:t>
      </w:r>
      <w:r w:rsidR="00CC0180">
        <w:rPr>
          <w:rFonts w:ascii="Times New Roman" w:hAnsi="Times New Roman" w:cs="Times New Roman"/>
          <w:lang w:val="en-US"/>
        </w:rPr>
        <w:t>i</w:t>
      </w:r>
      <w:r w:rsidRPr="00D11C55">
        <w:rPr>
          <w:rFonts w:ascii="Times New Roman" w:hAnsi="Times New Roman" w:cs="Times New Roman"/>
          <w:lang w:val="en-US"/>
        </w:rPr>
        <w:t xml:space="preserve">nformation and </w:t>
      </w:r>
      <w:r w:rsidR="00CC0180">
        <w:rPr>
          <w:rFonts w:ascii="Times New Roman" w:hAnsi="Times New Roman" w:cs="Times New Roman"/>
          <w:lang w:val="en-US"/>
        </w:rPr>
        <w:t>k</w:t>
      </w:r>
      <w:r w:rsidRPr="00D11C55">
        <w:rPr>
          <w:rFonts w:ascii="Times New Roman" w:hAnsi="Times New Roman" w:cs="Times New Roman"/>
          <w:lang w:val="en-US"/>
        </w:rPr>
        <w:t xml:space="preserve">nowledge </w:t>
      </w:r>
      <w:r w:rsidR="00CC0180">
        <w:rPr>
          <w:rFonts w:ascii="Times New Roman" w:hAnsi="Times New Roman" w:cs="Times New Roman"/>
          <w:lang w:val="en-US"/>
        </w:rPr>
        <w:t>v</w:t>
      </w:r>
      <w:r w:rsidRPr="00D11C55">
        <w:rPr>
          <w:rFonts w:ascii="Times New Roman" w:hAnsi="Times New Roman" w:cs="Times New Roman"/>
          <w:lang w:val="en-US"/>
        </w:rPr>
        <w:t xml:space="preserve">isualization. In S.-O. </w:t>
      </w:r>
      <w:proofErr w:type="spellStart"/>
      <w:r w:rsidRPr="00D11C55">
        <w:rPr>
          <w:rFonts w:ascii="Times New Roman" w:hAnsi="Times New Roman" w:cs="Times New Roman"/>
          <w:lang w:val="en-US"/>
        </w:rPr>
        <w:t>Tergan</w:t>
      </w:r>
      <w:proofErr w:type="spellEnd"/>
      <w:r w:rsidRPr="00D11C55">
        <w:rPr>
          <w:rFonts w:ascii="Times New Roman" w:hAnsi="Times New Roman" w:cs="Times New Roman"/>
          <w:lang w:val="en-US"/>
        </w:rPr>
        <w:t xml:space="preserve"> &amp; T. Keller (Eds.), </w:t>
      </w:r>
      <w:r w:rsidRPr="00D11C55">
        <w:rPr>
          <w:rFonts w:ascii="Times New Roman" w:hAnsi="Times New Roman" w:cs="Times New Roman"/>
          <w:i/>
          <w:iCs/>
          <w:lang w:val="en-US"/>
        </w:rPr>
        <w:t>Knowledge and Information Visualization: Searching for Synergies</w:t>
      </w:r>
      <w:r w:rsidRPr="00D11C55">
        <w:rPr>
          <w:rFonts w:ascii="Times New Roman" w:hAnsi="Times New Roman" w:cs="Times New Roman"/>
          <w:lang w:val="en-US"/>
        </w:rPr>
        <w:t xml:space="preserve"> (pp. 238–255). Springer. https://doi.org/10.1007/11510154_13</w:t>
      </w:r>
    </w:p>
    <w:p w14:paraId="1DCB4C7C" w14:textId="74B03CE9" w:rsidR="00FE6723" w:rsidRPr="00FE6723" w:rsidRDefault="00D11C55" w:rsidP="00494E7A">
      <w:pPr>
        <w:pStyle w:val="Bibliography"/>
        <w:spacing w:line="360" w:lineRule="auto"/>
        <w:rPr>
          <w:rFonts w:ascii="Times New Roman" w:hAnsi="Times New Roman" w:cs="Times New Roman"/>
          <w:lang w:val="en-US"/>
        </w:rPr>
      </w:pPr>
      <w:r w:rsidRPr="00FE6723">
        <w:rPr>
          <w:rFonts w:ascii="Times New Roman" w:hAnsi="Times New Roman" w:cs="Times New Roman"/>
          <w:lang w:val="en-US"/>
        </w:rPr>
        <w:t xml:space="preserve">Chou, W.-Y. S., Oh, A., &amp; Klein, W. M. P. (2018). Addressing </w:t>
      </w:r>
      <w:r w:rsidR="00CC0180" w:rsidRPr="00FE6723">
        <w:rPr>
          <w:rFonts w:ascii="Times New Roman" w:hAnsi="Times New Roman" w:cs="Times New Roman"/>
          <w:lang w:val="en-US"/>
        </w:rPr>
        <w:t>h</w:t>
      </w:r>
      <w:r w:rsidRPr="00FE6723">
        <w:rPr>
          <w:rFonts w:ascii="Times New Roman" w:hAnsi="Times New Roman" w:cs="Times New Roman"/>
          <w:lang w:val="en-US"/>
        </w:rPr>
        <w:t>ealth-</w:t>
      </w:r>
      <w:r w:rsidR="00CC0180" w:rsidRPr="00FE6723">
        <w:rPr>
          <w:rFonts w:ascii="Times New Roman" w:hAnsi="Times New Roman" w:cs="Times New Roman"/>
          <w:lang w:val="en-US"/>
        </w:rPr>
        <w:t>r</w:t>
      </w:r>
      <w:r w:rsidRPr="00FE6723">
        <w:rPr>
          <w:rFonts w:ascii="Times New Roman" w:hAnsi="Times New Roman" w:cs="Times New Roman"/>
          <w:lang w:val="en-US"/>
        </w:rPr>
        <w:t xml:space="preserve">elated </w:t>
      </w:r>
      <w:r w:rsidR="00CC0180" w:rsidRPr="00FE6723">
        <w:rPr>
          <w:rFonts w:ascii="Times New Roman" w:hAnsi="Times New Roman" w:cs="Times New Roman"/>
          <w:lang w:val="en-US"/>
        </w:rPr>
        <w:t>m</w:t>
      </w:r>
      <w:r w:rsidRPr="00FE6723">
        <w:rPr>
          <w:rFonts w:ascii="Times New Roman" w:hAnsi="Times New Roman" w:cs="Times New Roman"/>
          <w:lang w:val="en-US"/>
        </w:rPr>
        <w:t xml:space="preserve">isinformation on </w:t>
      </w:r>
      <w:r w:rsidR="00CC0180" w:rsidRPr="00FE6723">
        <w:rPr>
          <w:rFonts w:ascii="Times New Roman" w:hAnsi="Times New Roman" w:cs="Times New Roman"/>
          <w:lang w:val="en-US"/>
        </w:rPr>
        <w:t>s</w:t>
      </w:r>
      <w:r w:rsidRPr="00FE6723">
        <w:rPr>
          <w:rFonts w:ascii="Times New Roman" w:hAnsi="Times New Roman" w:cs="Times New Roman"/>
          <w:lang w:val="en-US"/>
        </w:rPr>
        <w:t xml:space="preserve">ocial </w:t>
      </w:r>
      <w:r w:rsidR="00CC0180" w:rsidRPr="00FE6723">
        <w:rPr>
          <w:rFonts w:ascii="Times New Roman" w:hAnsi="Times New Roman" w:cs="Times New Roman"/>
          <w:lang w:val="en-US"/>
        </w:rPr>
        <w:t>m</w:t>
      </w:r>
      <w:r w:rsidRPr="00FE6723">
        <w:rPr>
          <w:rFonts w:ascii="Times New Roman" w:hAnsi="Times New Roman" w:cs="Times New Roman"/>
          <w:lang w:val="en-US"/>
        </w:rPr>
        <w:t xml:space="preserve">edia. </w:t>
      </w:r>
      <w:r w:rsidRPr="00FE6723">
        <w:rPr>
          <w:rFonts w:ascii="Times New Roman" w:hAnsi="Times New Roman" w:cs="Times New Roman"/>
          <w:i/>
          <w:iCs/>
          <w:lang w:val="en-US"/>
        </w:rPr>
        <w:t>JAMA</w:t>
      </w:r>
      <w:r w:rsidRPr="00FE6723">
        <w:rPr>
          <w:rFonts w:ascii="Times New Roman" w:hAnsi="Times New Roman" w:cs="Times New Roman"/>
          <w:lang w:val="en-US"/>
        </w:rPr>
        <w:t xml:space="preserve">, </w:t>
      </w:r>
      <w:r w:rsidRPr="00FE6723">
        <w:rPr>
          <w:rFonts w:ascii="Times New Roman" w:hAnsi="Times New Roman" w:cs="Times New Roman"/>
          <w:i/>
          <w:iCs/>
          <w:lang w:val="en-US"/>
        </w:rPr>
        <w:t>320</w:t>
      </w:r>
      <w:r w:rsidRPr="00FE6723">
        <w:rPr>
          <w:rFonts w:ascii="Times New Roman" w:hAnsi="Times New Roman" w:cs="Times New Roman"/>
          <w:lang w:val="en-US"/>
        </w:rPr>
        <w:t xml:space="preserve">(23), 2417–2418. </w:t>
      </w:r>
      <w:r w:rsidR="00FE6723" w:rsidRPr="00FE6723">
        <w:rPr>
          <w:rFonts w:ascii="Times New Roman" w:hAnsi="Times New Roman" w:cs="Times New Roman"/>
          <w:lang w:val="en-US"/>
        </w:rPr>
        <w:t>https://doi.org/10.1001/jama.2018.16865</w:t>
      </w:r>
    </w:p>
    <w:p w14:paraId="7D0F11FD" w14:textId="42F8D207" w:rsidR="00FE6723" w:rsidRPr="00FE6723" w:rsidRDefault="00FE6723" w:rsidP="00494E7A">
      <w:pPr>
        <w:pStyle w:val="Bibliography"/>
        <w:spacing w:line="360" w:lineRule="auto"/>
        <w:rPr>
          <w:rFonts w:ascii="Times New Roman" w:hAnsi="Times New Roman" w:cs="Times New Roman"/>
          <w:lang w:val="fr-CA"/>
        </w:rPr>
      </w:pPr>
      <w:r w:rsidRPr="00FE6723">
        <w:rPr>
          <w:rFonts w:ascii="Times New Roman" w:hAnsi="Times New Roman" w:cs="Times New Roman"/>
          <w:lang w:val="en-US"/>
        </w:rPr>
        <w:t xml:space="preserve">Foley, K. E. (2020, June 25). </w:t>
      </w:r>
      <w:r w:rsidRPr="00FE6723">
        <w:rPr>
          <w:rFonts w:ascii="Times New Roman" w:hAnsi="Times New Roman" w:cs="Times New Roman"/>
          <w:i/>
          <w:iCs/>
          <w:lang w:val="en-US"/>
        </w:rPr>
        <w:t xml:space="preserve">How bad Covid-19 data visualizations mislead the public. </w:t>
      </w:r>
      <w:r w:rsidRPr="00FE6723">
        <w:rPr>
          <w:rFonts w:ascii="Times New Roman" w:hAnsi="Times New Roman" w:cs="Times New Roman"/>
          <w:lang w:val="fr-CA"/>
        </w:rPr>
        <w:t xml:space="preserve">Quartz. https://qz.com/1872980/how-bad-covid-19-data-visualizations-mislead-the-public </w:t>
      </w:r>
    </w:p>
    <w:p w14:paraId="198E2A0E" w14:textId="77777777" w:rsidR="00D11C55" w:rsidRPr="00D11C55" w:rsidRDefault="00D11C55" w:rsidP="00494E7A">
      <w:pPr>
        <w:pStyle w:val="Bibliography"/>
        <w:spacing w:line="360" w:lineRule="auto"/>
        <w:rPr>
          <w:rFonts w:ascii="Times New Roman" w:hAnsi="Times New Roman" w:cs="Times New Roman"/>
          <w:lang w:val="en-US"/>
        </w:rPr>
      </w:pPr>
      <w:r w:rsidRPr="00D11C55">
        <w:rPr>
          <w:rFonts w:ascii="Times New Roman" w:hAnsi="Times New Roman" w:cs="Times New Roman"/>
          <w:lang w:val="en-US"/>
        </w:rPr>
        <w:t xml:space="preserve">Funk, S., Gilad, E., Watkins, C., &amp; Jansen, V. A. A. (2009). The spread of awareness and its impact on epidemic outbreaks. </w:t>
      </w:r>
      <w:r w:rsidRPr="00D11C55">
        <w:rPr>
          <w:rFonts w:ascii="Times New Roman" w:hAnsi="Times New Roman" w:cs="Times New Roman"/>
          <w:i/>
          <w:iCs/>
          <w:lang w:val="en-US"/>
        </w:rPr>
        <w:t>Proceedings of the National Academy of Sciences</w:t>
      </w:r>
      <w:r w:rsidRPr="00D11C55">
        <w:rPr>
          <w:rFonts w:ascii="Times New Roman" w:hAnsi="Times New Roman" w:cs="Times New Roman"/>
          <w:lang w:val="en-US"/>
        </w:rPr>
        <w:t xml:space="preserve">, </w:t>
      </w:r>
      <w:r w:rsidRPr="00D11C55">
        <w:rPr>
          <w:rFonts w:ascii="Times New Roman" w:hAnsi="Times New Roman" w:cs="Times New Roman"/>
          <w:i/>
          <w:iCs/>
          <w:lang w:val="en-US"/>
        </w:rPr>
        <w:t>106</w:t>
      </w:r>
      <w:r w:rsidRPr="00D11C55">
        <w:rPr>
          <w:rFonts w:ascii="Times New Roman" w:hAnsi="Times New Roman" w:cs="Times New Roman"/>
          <w:lang w:val="en-US"/>
        </w:rPr>
        <w:t>(16), 6872–6877. https://doi.org/10.1073/pnas.0810762106</w:t>
      </w:r>
    </w:p>
    <w:p w14:paraId="7DF0118E" w14:textId="0AD4030B" w:rsidR="00D11C55" w:rsidRPr="00D11C55" w:rsidRDefault="00D11C55" w:rsidP="00494E7A">
      <w:pPr>
        <w:pStyle w:val="Bibliography"/>
        <w:spacing w:line="360" w:lineRule="auto"/>
        <w:rPr>
          <w:rFonts w:ascii="Times New Roman" w:hAnsi="Times New Roman" w:cs="Times New Roman"/>
          <w:lang w:val="en-US"/>
        </w:rPr>
      </w:pPr>
      <w:r w:rsidRPr="00D11C55">
        <w:rPr>
          <w:rFonts w:ascii="Times New Roman" w:hAnsi="Times New Roman" w:cs="Times New Roman"/>
          <w:lang w:val="en-US"/>
        </w:rPr>
        <w:t xml:space="preserve">Gavrilova, T., </w:t>
      </w:r>
      <w:proofErr w:type="spellStart"/>
      <w:r w:rsidRPr="00D11C55">
        <w:rPr>
          <w:rFonts w:ascii="Times New Roman" w:hAnsi="Times New Roman" w:cs="Times New Roman"/>
          <w:lang w:val="en-US"/>
        </w:rPr>
        <w:t>Alsufyev</w:t>
      </w:r>
      <w:proofErr w:type="spellEnd"/>
      <w:r w:rsidRPr="00D11C55">
        <w:rPr>
          <w:rFonts w:ascii="Times New Roman" w:hAnsi="Times New Roman" w:cs="Times New Roman"/>
          <w:lang w:val="en-US"/>
        </w:rPr>
        <w:t xml:space="preserve">, A., &amp; Grinberg, E. (2017). Knowledge visualization: Critique of the St. Gallen School and an analysis of contemporary trends. </w:t>
      </w:r>
      <w:r w:rsidRPr="00D11C55">
        <w:rPr>
          <w:rFonts w:ascii="Times New Roman" w:hAnsi="Times New Roman" w:cs="Times New Roman"/>
          <w:i/>
          <w:iCs/>
          <w:lang w:val="en-US"/>
        </w:rPr>
        <w:t>Business Informatics</w:t>
      </w:r>
      <w:r w:rsidRPr="00D11C55">
        <w:rPr>
          <w:rFonts w:ascii="Times New Roman" w:hAnsi="Times New Roman" w:cs="Times New Roman"/>
          <w:lang w:val="en-US"/>
        </w:rPr>
        <w:t xml:space="preserve">, </w:t>
      </w:r>
      <w:r w:rsidR="009A083F">
        <w:rPr>
          <w:rFonts w:ascii="Times New Roman" w:hAnsi="Times New Roman" w:cs="Times New Roman"/>
          <w:i/>
          <w:iCs/>
          <w:lang w:val="en-US"/>
        </w:rPr>
        <w:t>41</w:t>
      </w:r>
      <w:r w:rsidRPr="00D11C55">
        <w:rPr>
          <w:rFonts w:ascii="Times New Roman" w:hAnsi="Times New Roman" w:cs="Times New Roman"/>
          <w:lang w:val="en-US"/>
        </w:rPr>
        <w:t>(3), 7–19. https://doi.org/10.17323/1998-0663.2017.3.7.19</w:t>
      </w:r>
    </w:p>
    <w:p w14:paraId="7DDE76CF" w14:textId="77777777" w:rsidR="00D11C55" w:rsidRPr="00D11C55" w:rsidRDefault="00D11C55" w:rsidP="00494E7A">
      <w:pPr>
        <w:pStyle w:val="Bibliography"/>
        <w:spacing w:line="360" w:lineRule="auto"/>
        <w:rPr>
          <w:rFonts w:ascii="Times New Roman" w:hAnsi="Times New Roman" w:cs="Times New Roman"/>
          <w:lang w:val="en-US"/>
        </w:rPr>
      </w:pPr>
      <w:r w:rsidRPr="00D11C55">
        <w:rPr>
          <w:rFonts w:ascii="Times New Roman" w:hAnsi="Times New Roman" w:cs="Times New Roman"/>
          <w:lang w:val="en-US"/>
        </w:rPr>
        <w:t xml:space="preserve">Grimshaw, J. M., Eccles, M. P., Lavis, J. N., Hill, S. J., &amp; Squires, J. E. (2012). Knowledge translation of research findings. </w:t>
      </w:r>
      <w:r w:rsidRPr="00D11C55">
        <w:rPr>
          <w:rFonts w:ascii="Times New Roman" w:hAnsi="Times New Roman" w:cs="Times New Roman"/>
          <w:i/>
          <w:iCs/>
          <w:lang w:val="en-US"/>
        </w:rPr>
        <w:t>Implementation Science</w:t>
      </w:r>
      <w:r w:rsidRPr="00D11C55">
        <w:rPr>
          <w:rFonts w:ascii="Times New Roman" w:hAnsi="Times New Roman" w:cs="Times New Roman"/>
          <w:lang w:val="en-US"/>
        </w:rPr>
        <w:t xml:space="preserve">, </w:t>
      </w:r>
      <w:r w:rsidRPr="00D11C55">
        <w:rPr>
          <w:rFonts w:ascii="Times New Roman" w:hAnsi="Times New Roman" w:cs="Times New Roman"/>
          <w:i/>
          <w:iCs/>
          <w:lang w:val="en-US"/>
        </w:rPr>
        <w:t>7</w:t>
      </w:r>
      <w:r w:rsidRPr="00D11C55">
        <w:rPr>
          <w:rFonts w:ascii="Times New Roman" w:hAnsi="Times New Roman" w:cs="Times New Roman"/>
          <w:lang w:val="en-US"/>
        </w:rPr>
        <w:t>(1), 50. https://doi.org/10.1186/1748-5908-7-50</w:t>
      </w:r>
    </w:p>
    <w:p w14:paraId="5A80D790" w14:textId="29F5AAAC" w:rsidR="00D11C55" w:rsidRDefault="00D11C55" w:rsidP="00494E7A">
      <w:pPr>
        <w:pStyle w:val="Bibliography"/>
        <w:spacing w:line="360" w:lineRule="auto"/>
        <w:rPr>
          <w:rFonts w:ascii="Times New Roman" w:hAnsi="Times New Roman" w:cs="Times New Roman"/>
          <w:lang w:val="en-US"/>
        </w:rPr>
      </w:pPr>
      <w:r w:rsidRPr="00D11C55">
        <w:rPr>
          <w:rFonts w:ascii="Times New Roman" w:hAnsi="Times New Roman" w:cs="Times New Roman"/>
          <w:lang w:val="en-US"/>
        </w:rPr>
        <w:t>Kim, S. J., Han, J. A., Lee, T.-Y., Hwang, T.-Y., Kwon, K.-S., Park, K. S., Lee, K. J., Kim, M. S., &amp; Lee, S. Y. (2014). Community-</w:t>
      </w:r>
      <w:r w:rsidR="009A083F">
        <w:rPr>
          <w:rFonts w:ascii="Times New Roman" w:hAnsi="Times New Roman" w:cs="Times New Roman"/>
          <w:lang w:val="en-US"/>
        </w:rPr>
        <w:t>b</w:t>
      </w:r>
      <w:r w:rsidRPr="00D11C55">
        <w:rPr>
          <w:rFonts w:ascii="Times New Roman" w:hAnsi="Times New Roman" w:cs="Times New Roman"/>
          <w:lang w:val="en-US"/>
        </w:rPr>
        <w:t xml:space="preserve">ased </w:t>
      </w:r>
      <w:r w:rsidR="009A083F">
        <w:rPr>
          <w:rFonts w:ascii="Times New Roman" w:hAnsi="Times New Roman" w:cs="Times New Roman"/>
          <w:lang w:val="en-US"/>
        </w:rPr>
        <w:t>r</w:t>
      </w:r>
      <w:r w:rsidRPr="00D11C55">
        <w:rPr>
          <w:rFonts w:ascii="Times New Roman" w:hAnsi="Times New Roman" w:cs="Times New Roman"/>
          <w:lang w:val="en-US"/>
        </w:rPr>
        <w:t xml:space="preserve">isk </w:t>
      </w:r>
      <w:r w:rsidR="009A083F">
        <w:rPr>
          <w:rFonts w:ascii="Times New Roman" w:hAnsi="Times New Roman" w:cs="Times New Roman"/>
          <w:lang w:val="en-US"/>
        </w:rPr>
        <w:t>c</w:t>
      </w:r>
      <w:r w:rsidRPr="00D11C55">
        <w:rPr>
          <w:rFonts w:ascii="Times New Roman" w:hAnsi="Times New Roman" w:cs="Times New Roman"/>
          <w:lang w:val="en-US"/>
        </w:rPr>
        <w:t xml:space="preserve">ommunication </w:t>
      </w:r>
      <w:r w:rsidR="009A083F">
        <w:rPr>
          <w:rFonts w:ascii="Times New Roman" w:hAnsi="Times New Roman" w:cs="Times New Roman"/>
          <w:lang w:val="en-US"/>
        </w:rPr>
        <w:t>s</w:t>
      </w:r>
      <w:r w:rsidRPr="00D11C55">
        <w:rPr>
          <w:rFonts w:ascii="Times New Roman" w:hAnsi="Times New Roman" w:cs="Times New Roman"/>
          <w:lang w:val="en-US"/>
        </w:rPr>
        <w:t xml:space="preserve">urvey: Risk </w:t>
      </w:r>
      <w:r w:rsidR="009A083F">
        <w:rPr>
          <w:rFonts w:ascii="Times New Roman" w:hAnsi="Times New Roman" w:cs="Times New Roman"/>
          <w:lang w:val="en-US"/>
        </w:rPr>
        <w:t>p</w:t>
      </w:r>
      <w:r w:rsidRPr="00D11C55">
        <w:rPr>
          <w:rFonts w:ascii="Times New Roman" w:hAnsi="Times New Roman" w:cs="Times New Roman"/>
          <w:lang w:val="en-US"/>
        </w:rPr>
        <w:t xml:space="preserve">revention </w:t>
      </w:r>
      <w:r w:rsidR="009A083F">
        <w:rPr>
          <w:rFonts w:ascii="Times New Roman" w:hAnsi="Times New Roman" w:cs="Times New Roman"/>
          <w:lang w:val="en-US"/>
        </w:rPr>
        <w:t>b</w:t>
      </w:r>
      <w:r w:rsidRPr="00D11C55">
        <w:rPr>
          <w:rFonts w:ascii="Times New Roman" w:hAnsi="Times New Roman" w:cs="Times New Roman"/>
          <w:lang w:val="en-US"/>
        </w:rPr>
        <w:t xml:space="preserve">ehaviors in </w:t>
      </w:r>
      <w:r w:rsidR="009A083F">
        <w:rPr>
          <w:rFonts w:ascii="Times New Roman" w:hAnsi="Times New Roman" w:cs="Times New Roman"/>
          <w:lang w:val="en-US"/>
        </w:rPr>
        <w:t>c</w:t>
      </w:r>
      <w:r w:rsidRPr="00D11C55">
        <w:rPr>
          <w:rFonts w:ascii="Times New Roman" w:hAnsi="Times New Roman" w:cs="Times New Roman"/>
          <w:lang w:val="en-US"/>
        </w:rPr>
        <w:t xml:space="preserve">ommunities during the H1N1 crisis, 2010. </w:t>
      </w:r>
      <w:proofErr w:type="spellStart"/>
      <w:r w:rsidRPr="00D11C55">
        <w:rPr>
          <w:rFonts w:ascii="Times New Roman" w:hAnsi="Times New Roman" w:cs="Times New Roman"/>
          <w:i/>
          <w:iCs/>
          <w:lang w:val="en-US"/>
        </w:rPr>
        <w:t>Osong</w:t>
      </w:r>
      <w:proofErr w:type="spellEnd"/>
      <w:r w:rsidRPr="00D11C55">
        <w:rPr>
          <w:rFonts w:ascii="Times New Roman" w:hAnsi="Times New Roman" w:cs="Times New Roman"/>
          <w:i/>
          <w:iCs/>
          <w:lang w:val="en-US"/>
        </w:rPr>
        <w:t xml:space="preserve"> Public Health and Research Perspectives</w:t>
      </w:r>
      <w:r w:rsidRPr="00D11C55">
        <w:rPr>
          <w:rFonts w:ascii="Times New Roman" w:hAnsi="Times New Roman" w:cs="Times New Roman"/>
          <w:lang w:val="en-US"/>
        </w:rPr>
        <w:t xml:space="preserve">, </w:t>
      </w:r>
      <w:r w:rsidRPr="00D11C55">
        <w:rPr>
          <w:rFonts w:ascii="Times New Roman" w:hAnsi="Times New Roman" w:cs="Times New Roman"/>
          <w:i/>
          <w:iCs/>
          <w:lang w:val="en-US"/>
        </w:rPr>
        <w:t>5</w:t>
      </w:r>
      <w:r w:rsidRPr="00D11C55">
        <w:rPr>
          <w:rFonts w:ascii="Times New Roman" w:hAnsi="Times New Roman" w:cs="Times New Roman"/>
          <w:lang w:val="en-US"/>
        </w:rPr>
        <w:t>(1), 9–19. https://doi.org/10.1016/j.phrp.2013.12.001</w:t>
      </w:r>
    </w:p>
    <w:p w14:paraId="4A79C5CF" w14:textId="568CD3AB" w:rsidR="00D11C55" w:rsidRDefault="00D11C55" w:rsidP="00494E7A">
      <w:pPr>
        <w:spacing w:line="360" w:lineRule="auto"/>
        <w:rPr>
          <w:noProof/>
        </w:rPr>
      </w:pPr>
      <w:r>
        <w:rPr>
          <w:noProof/>
        </w:rPr>
        <w:t xml:space="preserve">Kirk, A. (2016). </w:t>
      </w:r>
      <w:r>
        <w:rPr>
          <w:i/>
          <w:iCs/>
          <w:noProof/>
        </w:rPr>
        <w:t xml:space="preserve">Data visualisation: A handbook for data driven design </w:t>
      </w:r>
      <w:r>
        <w:rPr>
          <w:noProof/>
        </w:rPr>
        <w:t>(2</w:t>
      </w:r>
      <w:r w:rsidRPr="002018BE">
        <w:rPr>
          <w:noProof/>
          <w:vertAlign w:val="superscript"/>
        </w:rPr>
        <w:t>nd</w:t>
      </w:r>
      <w:r>
        <w:rPr>
          <w:noProof/>
        </w:rPr>
        <w:t xml:space="preserve"> ed.). Sage.</w:t>
      </w:r>
    </w:p>
    <w:p w14:paraId="64525676" w14:textId="15735F88" w:rsidR="00D11C55" w:rsidRPr="00D11C55" w:rsidRDefault="00D11C55" w:rsidP="00494E7A">
      <w:pPr>
        <w:spacing w:line="360" w:lineRule="auto"/>
        <w:ind w:left="720" w:hanging="720"/>
      </w:pPr>
      <w:r w:rsidRPr="00CF134B">
        <w:rPr>
          <w:noProof/>
        </w:rPr>
        <w:lastRenderedPageBreak/>
        <w:t>Levin, B. (2008, August</w:t>
      </w:r>
      <w:r w:rsidRPr="00D11C55">
        <w:rPr>
          <w:noProof/>
        </w:rPr>
        <w:t>)</w:t>
      </w:r>
      <w:r w:rsidRPr="00CF134B">
        <w:rPr>
          <w:i/>
          <w:iCs/>
          <w:noProof/>
        </w:rPr>
        <w:t>. Thinking about knowledge mobilization. A discussion paper prepared at the request of the Canadian Council on Learning and the Social Sciences and Humanities Research Council.</w:t>
      </w:r>
      <w:r w:rsidRPr="00CF134B">
        <w:t xml:space="preserve"> </w:t>
      </w:r>
      <w:r w:rsidRPr="00D11C55">
        <w:t>https://www.sshrc-crsh.gc.ca/about-au_sujet/publications/KMb_-_LevinDiscussionPaper_-_E.pdf</w:t>
      </w:r>
      <w:r w:rsidRPr="00CF134B">
        <w:t xml:space="preserve"> </w:t>
      </w:r>
    </w:p>
    <w:p w14:paraId="1BDA8C9A" w14:textId="77777777" w:rsidR="00D11C55" w:rsidRPr="00D11C55" w:rsidRDefault="00D11C55" w:rsidP="00494E7A">
      <w:pPr>
        <w:pStyle w:val="Bibliography"/>
        <w:spacing w:line="360" w:lineRule="auto"/>
        <w:rPr>
          <w:rFonts w:ascii="Times New Roman" w:hAnsi="Times New Roman" w:cs="Times New Roman"/>
          <w:lang w:val="en-US"/>
        </w:rPr>
      </w:pPr>
      <w:r w:rsidRPr="00D11C55">
        <w:rPr>
          <w:rFonts w:ascii="Times New Roman" w:hAnsi="Times New Roman" w:cs="Times New Roman"/>
          <w:lang w:val="en-US"/>
        </w:rPr>
        <w:t xml:space="preserve">Levy, J. A., &amp; </w:t>
      </w:r>
      <w:proofErr w:type="spellStart"/>
      <w:r w:rsidRPr="00D11C55">
        <w:rPr>
          <w:rFonts w:ascii="Times New Roman" w:hAnsi="Times New Roman" w:cs="Times New Roman"/>
          <w:lang w:val="en-US"/>
        </w:rPr>
        <w:t>Strombeck</w:t>
      </w:r>
      <w:proofErr w:type="spellEnd"/>
      <w:r w:rsidRPr="00D11C55">
        <w:rPr>
          <w:rFonts w:ascii="Times New Roman" w:hAnsi="Times New Roman" w:cs="Times New Roman"/>
          <w:lang w:val="en-US"/>
        </w:rPr>
        <w:t xml:space="preserve">, R. (2002). Health benefits and risks of the Internet. </w:t>
      </w:r>
      <w:r w:rsidRPr="00D11C55">
        <w:rPr>
          <w:rFonts w:ascii="Times New Roman" w:hAnsi="Times New Roman" w:cs="Times New Roman"/>
          <w:i/>
          <w:iCs/>
          <w:lang w:val="en-US"/>
        </w:rPr>
        <w:t>Journal of Medical Systems</w:t>
      </w:r>
      <w:r w:rsidRPr="00D11C55">
        <w:rPr>
          <w:rFonts w:ascii="Times New Roman" w:hAnsi="Times New Roman" w:cs="Times New Roman"/>
          <w:lang w:val="en-US"/>
        </w:rPr>
        <w:t xml:space="preserve">, </w:t>
      </w:r>
      <w:r w:rsidRPr="00D11C55">
        <w:rPr>
          <w:rFonts w:ascii="Times New Roman" w:hAnsi="Times New Roman" w:cs="Times New Roman"/>
          <w:i/>
          <w:iCs/>
          <w:lang w:val="en-US"/>
        </w:rPr>
        <w:t>26</w:t>
      </w:r>
      <w:r w:rsidRPr="00D11C55">
        <w:rPr>
          <w:rFonts w:ascii="Times New Roman" w:hAnsi="Times New Roman" w:cs="Times New Roman"/>
          <w:lang w:val="en-US"/>
        </w:rPr>
        <w:t>(6), 495–510. https://doi.org/10.1023/a:1020288508362</w:t>
      </w:r>
    </w:p>
    <w:p w14:paraId="2A50A8E4" w14:textId="77777777" w:rsidR="00D11C55" w:rsidRDefault="00D11C55" w:rsidP="00494E7A">
      <w:pPr>
        <w:pStyle w:val="Bibliography"/>
        <w:spacing w:line="360" w:lineRule="auto"/>
        <w:rPr>
          <w:rFonts w:ascii="Times New Roman" w:hAnsi="Times New Roman" w:cs="Times New Roman"/>
          <w:lang w:val="en-US"/>
        </w:rPr>
      </w:pPr>
      <w:proofErr w:type="spellStart"/>
      <w:r w:rsidRPr="00D11C55">
        <w:rPr>
          <w:rFonts w:ascii="Times New Roman" w:hAnsi="Times New Roman" w:cs="Times New Roman"/>
          <w:lang w:val="en-US"/>
        </w:rPr>
        <w:t>McKibbon</w:t>
      </w:r>
      <w:proofErr w:type="spellEnd"/>
      <w:r w:rsidRPr="00D11C55">
        <w:rPr>
          <w:rFonts w:ascii="Times New Roman" w:hAnsi="Times New Roman" w:cs="Times New Roman"/>
          <w:lang w:val="en-US"/>
        </w:rPr>
        <w:t xml:space="preserve">, K. A., </w:t>
      </w:r>
      <w:proofErr w:type="spellStart"/>
      <w:r w:rsidRPr="00D11C55">
        <w:rPr>
          <w:rFonts w:ascii="Times New Roman" w:hAnsi="Times New Roman" w:cs="Times New Roman"/>
          <w:lang w:val="en-US"/>
        </w:rPr>
        <w:t>Lokker</w:t>
      </w:r>
      <w:proofErr w:type="spellEnd"/>
      <w:r w:rsidRPr="00D11C55">
        <w:rPr>
          <w:rFonts w:ascii="Times New Roman" w:hAnsi="Times New Roman" w:cs="Times New Roman"/>
          <w:lang w:val="en-US"/>
        </w:rPr>
        <w:t xml:space="preserve">, C., </w:t>
      </w:r>
      <w:proofErr w:type="spellStart"/>
      <w:r w:rsidRPr="00D11C55">
        <w:rPr>
          <w:rFonts w:ascii="Times New Roman" w:hAnsi="Times New Roman" w:cs="Times New Roman"/>
          <w:lang w:val="en-US"/>
        </w:rPr>
        <w:t>Wilczynski</w:t>
      </w:r>
      <w:proofErr w:type="spellEnd"/>
      <w:r w:rsidRPr="00D11C55">
        <w:rPr>
          <w:rFonts w:ascii="Times New Roman" w:hAnsi="Times New Roman" w:cs="Times New Roman"/>
          <w:lang w:val="en-US"/>
        </w:rPr>
        <w:t xml:space="preserve">, N. L., </w:t>
      </w:r>
      <w:proofErr w:type="spellStart"/>
      <w:r w:rsidRPr="00D11C55">
        <w:rPr>
          <w:rFonts w:ascii="Times New Roman" w:hAnsi="Times New Roman" w:cs="Times New Roman"/>
          <w:lang w:val="en-US"/>
        </w:rPr>
        <w:t>Ciliska</w:t>
      </w:r>
      <w:proofErr w:type="spellEnd"/>
      <w:r w:rsidRPr="00D11C55">
        <w:rPr>
          <w:rFonts w:ascii="Times New Roman" w:hAnsi="Times New Roman" w:cs="Times New Roman"/>
          <w:lang w:val="en-US"/>
        </w:rPr>
        <w:t xml:space="preserve">, D., Dobbins, M., Davis, D. A., Haynes, R. B., &amp; Straus, S. E. (2010). A cross-sectional study of the number and frequency of terms used to refer to knowledge translation in a body of health literature in 2006: A Tower of Babel? </w:t>
      </w:r>
      <w:r w:rsidRPr="00D11C55">
        <w:rPr>
          <w:rFonts w:ascii="Times New Roman" w:hAnsi="Times New Roman" w:cs="Times New Roman"/>
          <w:i/>
          <w:iCs/>
          <w:lang w:val="en-US"/>
        </w:rPr>
        <w:t>Implementation Science: IS</w:t>
      </w:r>
      <w:r w:rsidRPr="00D11C55">
        <w:rPr>
          <w:rFonts w:ascii="Times New Roman" w:hAnsi="Times New Roman" w:cs="Times New Roman"/>
          <w:lang w:val="en-US"/>
        </w:rPr>
        <w:t xml:space="preserve">, </w:t>
      </w:r>
      <w:r w:rsidRPr="00D11C55">
        <w:rPr>
          <w:rFonts w:ascii="Times New Roman" w:hAnsi="Times New Roman" w:cs="Times New Roman"/>
          <w:i/>
          <w:iCs/>
          <w:lang w:val="en-US"/>
        </w:rPr>
        <w:t>5</w:t>
      </w:r>
      <w:r w:rsidRPr="00D11C55">
        <w:rPr>
          <w:rFonts w:ascii="Times New Roman" w:hAnsi="Times New Roman" w:cs="Times New Roman"/>
          <w:lang w:val="en-US"/>
        </w:rPr>
        <w:t>, 16. https://doi.org/10.1186/1748-5908-5-16</w:t>
      </w:r>
    </w:p>
    <w:p w14:paraId="45623F35" w14:textId="0AD4BCAF" w:rsidR="00D11C55" w:rsidRDefault="00D11C55" w:rsidP="00494E7A">
      <w:pPr>
        <w:spacing w:line="360" w:lineRule="auto"/>
        <w:ind w:left="720" w:hanging="720"/>
      </w:pPr>
      <w:r>
        <w:t xml:space="preserve">Meyer, R. (2010). Knowledge visualization. </w:t>
      </w:r>
      <w:r>
        <w:rPr>
          <w:i/>
          <w:iCs/>
        </w:rPr>
        <w:t>Trends in Information Visualization, 23</w:t>
      </w:r>
      <w:r>
        <w:t xml:space="preserve">, 23-30. </w:t>
      </w:r>
      <w:r w:rsidRPr="00D11C55">
        <w:t>https://doi.org/10.1007/978-1-4471-4303-1</w:t>
      </w:r>
      <w:r>
        <w:t xml:space="preserve"> </w:t>
      </w:r>
    </w:p>
    <w:p w14:paraId="736C0E76" w14:textId="594EA13C" w:rsidR="00D11C55" w:rsidRDefault="00D11C55" w:rsidP="00494E7A">
      <w:pPr>
        <w:spacing w:line="360" w:lineRule="auto"/>
        <w:ind w:left="720" w:hanging="720"/>
        <w:rPr>
          <w:lang w:val="en-US"/>
        </w:rPr>
      </w:pPr>
      <w:proofErr w:type="spellStart"/>
      <w:r w:rsidRPr="00D11C55">
        <w:rPr>
          <w:lang w:val="en-US"/>
        </w:rPr>
        <w:t>Opiła</w:t>
      </w:r>
      <w:proofErr w:type="spellEnd"/>
      <w:r w:rsidRPr="00D11C55">
        <w:rPr>
          <w:lang w:val="en-US"/>
        </w:rPr>
        <w:t xml:space="preserve">, J. (2019). Role of </w:t>
      </w:r>
      <w:r w:rsidR="009A083F">
        <w:rPr>
          <w:lang w:val="en-US"/>
        </w:rPr>
        <w:t>v</w:t>
      </w:r>
      <w:r w:rsidRPr="00D11C55">
        <w:rPr>
          <w:lang w:val="en-US"/>
        </w:rPr>
        <w:t xml:space="preserve">isualization in a </w:t>
      </w:r>
      <w:r w:rsidR="009A083F">
        <w:rPr>
          <w:lang w:val="en-US"/>
        </w:rPr>
        <w:t>k</w:t>
      </w:r>
      <w:r w:rsidRPr="00D11C55">
        <w:rPr>
          <w:lang w:val="en-US"/>
        </w:rPr>
        <w:t xml:space="preserve">nowledge </w:t>
      </w:r>
      <w:r w:rsidR="009A083F">
        <w:rPr>
          <w:lang w:val="en-US"/>
        </w:rPr>
        <w:t>t</w:t>
      </w:r>
      <w:r w:rsidRPr="00D11C55">
        <w:rPr>
          <w:lang w:val="en-US"/>
        </w:rPr>
        <w:t xml:space="preserve">ransfer </w:t>
      </w:r>
      <w:r w:rsidR="009A083F">
        <w:rPr>
          <w:lang w:val="en-US"/>
        </w:rPr>
        <w:t>p</w:t>
      </w:r>
      <w:r w:rsidRPr="00D11C55">
        <w:rPr>
          <w:lang w:val="en-US"/>
        </w:rPr>
        <w:t xml:space="preserve">rocess. </w:t>
      </w:r>
      <w:r w:rsidRPr="00D11C55">
        <w:rPr>
          <w:i/>
          <w:iCs/>
          <w:lang w:val="en-US"/>
        </w:rPr>
        <w:t>Business Systems Research Journal</w:t>
      </w:r>
      <w:r w:rsidRPr="00D11C55">
        <w:rPr>
          <w:lang w:val="en-US"/>
        </w:rPr>
        <w:t xml:space="preserve">, </w:t>
      </w:r>
      <w:r w:rsidRPr="00D11C55">
        <w:rPr>
          <w:i/>
          <w:iCs/>
          <w:lang w:val="en-US"/>
        </w:rPr>
        <w:t>10</w:t>
      </w:r>
      <w:r w:rsidRPr="00D11C55">
        <w:rPr>
          <w:lang w:val="en-US"/>
        </w:rPr>
        <w:t>(1), 164–179.</w:t>
      </w:r>
    </w:p>
    <w:p w14:paraId="4A89DB12" w14:textId="26B8A3D4" w:rsidR="00D11C55" w:rsidRDefault="00D11C55" w:rsidP="00494E7A">
      <w:pPr>
        <w:spacing w:line="360" w:lineRule="auto"/>
        <w:ind w:left="720" w:hanging="720"/>
        <w:rPr>
          <w:noProof/>
        </w:rPr>
      </w:pPr>
      <w:r>
        <w:rPr>
          <w:noProof/>
        </w:rPr>
        <w:t xml:space="preserve">Social Sciences and Humanities Research Council. (2023, November 11). </w:t>
      </w:r>
      <w:r>
        <w:rPr>
          <w:i/>
          <w:iCs/>
          <w:noProof/>
        </w:rPr>
        <w:t xml:space="preserve">Guidelines for effective knowledge mobilization. </w:t>
      </w:r>
      <w:r>
        <w:rPr>
          <w:noProof/>
        </w:rPr>
        <w:t xml:space="preserve">Government of Canada. </w:t>
      </w:r>
      <w:r w:rsidR="00E46ACF" w:rsidRPr="00E46ACF">
        <w:rPr>
          <w:noProof/>
        </w:rPr>
        <w:t>https://www.sshrc-crsh.gc.ca/funding-financement/policies-politiques/knowledge_mobilisation-mobilisation_des_connaissances-eng.aspx</w:t>
      </w:r>
      <w:r>
        <w:rPr>
          <w:noProof/>
        </w:rPr>
        <w:t xml:space="preserve"> </w:t>
      </w:r>
    </w:p>
    <w:p w14:paraId="78168842" w14:textId="69DED580" w:rsidR="00E46ACF" w:rsidRPr="00E46ACF" w:rsidRDefault="00E46ACF" w:rsidP="00494E7A">
      <w:pPr>
        <w:spacing w:line="360" w:lineRule="auto"/>
        <w:ind w:left="720" w:hanging="720"/>
        <w:rPr>
          <w:noProof/>
        </w:rPr>
      </w:pPr>
      <w:r>
        <w:rPr>
          <w:noProof/>
        </w:rPr>
        <w:t xml:space="preserve">Stobierski, T. (2021, January 28). </w:t>
      </w:r>
      <w:r>
        <w:rPr>
          <w:i/>
          <w:iCs/>
          <w:noProof/>
        </w:rPr>
        <w:t xml:space="preserve">Bad data visualization: 5 examples of misleading data. </w:t>
      </w:r>
      <w:r>
        <w:rPr>
          <w:noProof/>
        </w:rPr>
        <w:t xml:space="preserve">Harvard Business School Online. </w:t>
      </w:r>
      <w:r w:rsidRPr="00E46ACF">
        <w:rPr>
          <w:noProof/>
        </w:rPr>
        <w:t>https://online.hbs.edu/blog/post/bad-data-visualization</w:t>
      </w:r>
      <w:r>
        <w:rPr>
          <w:noProof/>
        </w:rPr>
        <w:t xml:space="preserve"> </w:t>
      </w:r>
    </w:p>
    <w:p w14:paraId="1373CAB1" w14:textId="1D5ED2B2" w:rsidR="00D11C55" w:rsidRPr="00D11C55" w:rsidRDefault="00D11C55" w:rsidP="00494E7A">
      <w:pPr>
        <w:pStyle w:val="Bibliography"/>
        <w:spacing w:line="360" w:lineRule="auto"/>
        <w:rPr>
          <w:rFonts w:ascii="Times New Roman" w:hAnsi="Times New Roman" w:cs="Times New Roman"/>
          <w:lang w:val="en-US"/>
        </w:rPr>
      </w:pPr>
      <w:r w:rsidRPr="00D11C55">
        <w:rPr>
          <w:rFonts w:ascii="Times New Roman" w:hAnsi="Times New Roman" w:cs="Times New Roman"/>
          <w:lang w:val="en-US"/>
        </w:rPr>
        <w:t>Suarez-</w:t>
      </w:r>
      <w:proofErr w:type="spellStart"/>
      <w:r w:rsidRPr="00D11C55">
        <w:rPr>
          <w:rFonts w:ascii="Times New Roman" w:hAnsi="Times New Roman" w:cs="Times New Roman"/>
          <w:lang w:val="en-US"/>
        </w:rPr>
        <w:t>Lledo</w:t>
      </w:r>
      <w:proofErr w:type="spellEnd"/>
      <w:r w:rsidRPr="00D11C55">
        <w:rPr>
          <w:rFonts w:ascii="Times New Roman" w:hAnsi="Times New Roman" w:cs="Times New Roman"/>
          <w:lang w:val="en-US"/>
        </w:rPr>
        <w:t xml:space="preserve">, V., &amp; Alvarez-Galvez, J. (2021). Prevalence of </w:t>
      </w:r>
      <w:r w:rsidR="009A083F">
        <w:rPr>
          <w:rFonts w:ascii="Times New Roman" w:hAnsi="Times New Roman" w:cs="Times New Roman"/>
          <w:lang w:val="en-US"/>
        </w:rPr>
        <w:t>h</w:t>
      </w:r>
      <w:r w:rsidRPr="00D11C55">
        <w:rPr>
          <w:rFonts w:ascii="Times New Roman" w:hAnsi="Times New Roman" w:cs="Times New Roman"/>
          <w:lang w:val="en-US"/>
        </w:rPr>
        <w:t xml:space="preserve">ealth </w:t>
      </w:r>
      <w:r w:rsidR="009A083F">
        <w:rPr>
          <w:rFonts w:ascii="Times New Roman" w:hAnsi="Times New Roman" w:cs="Times New Roman"/>
          <w:lang w:val="en-US"/>
        </w:rPr>
        <w:t>m</w:t>
      </w:r>
      <w:r w:rsidRPr="00D11C55">
        <w:rPr>
          <w:rFonts w:ascii="Times New Roman" w:hAnsi="Times New Roman" w:cs="Times New Roman"/>
          <w:lang w:val="en-US"/>
        </w:rPr>
        <w:t xml:space="preserve">isinformation on </w:t>
      </w:r>
      <w:r w:rsidR="009A083F">
        <w:rPr>
          <w:rFonts w:ascii="Times New Roman" w:hAnsi="Times New Roman" w:cs="Times New Roman"/>
          <w:lang w:val="en-US"/>
        </w:rPr>
        <w:t>s</w:t>
      </w:r>
      <w:r w:rsidRPr="00D11C55">
        <w:rPr>
          <w:rFonts w:ascii="Times New Roman" w:hAnsi="Times New Roman" w:cs="Times New Roman"/>
          <w:lang w:val="en-US"/>
        </w:rPr>
        <w:t xml:space="preserve">ocial </w:t>
      </w:r>
      <w:r w:rsidR="009A083F">
        <w:rPr>
          <w:rFonts w:ascii="Times New Roman" w:hAnsi="Times New Roman" w:cs="Times New Roman"/>
          <w:lang w:val="en-US"/>
        </w:rPr>
        <w:t>m</w:t>
      </w:r>
      <w:r w:rsidRPr="00D11C55">
        <w:rPr>
          <w:rFonts w:ascii="Times New Roman" w:hAnsi="Times New Roman" w:cs="Times New Roman"/>
          <w:lang w:val="en-US"/>
        </w:rPr>
        <w:t xml:space="preserve">edia: Systematic </w:t>
      </w:r>
      <w:r w:rsidR="009A083F">
        <w:rPr>
          <w:rFonts w:ascii="Times New Roman" w:hAnsi="Times New Roman" w:cs="Times New Roman"/>
          <w:lang w:val="en-US"/>
        </w:rPr>
        <w:t>r</w:t>
      </w:r>
      <w:r w:rsidRPr="00D11C55">
        <w:rPr>
          <w:rFonts w:ascii="Times New Roman" w:hAnsi="Times New Roman" w:cs="Times New Roman"/>
          <w:lang w:val="en-US"/>
        </w:rPr>
        <w:t xml:space="preserve">eview. </w:t>
      </w:r>
      <w:r w:rsidRPr="00D11C55">
        <w:rPr>
          <w:rFonts w:ascii="Times New Roman" w:hAnsi="Times New Roman" w:cs="Times New Roman"/>
          <w:i/>
          <w:iCs/>
          <w:lang w:val="en-US"/>
        </w:rPr>
        <w:t>Journal of Medical Internet Research</w:t>
      </w:r>
      <w:r w:rsidRPr="00D11C55">
        <w:rPr>
          <w:rFonts w:ascii="Times New Roman" w:hAnsi="Times New Roman" w:cs="Times New Roman"/>
          <w:lang w:val="en-US"/>
        </w:rPr>
        <w:t xml:space="preserve">, </w:t>
      </w:r>
      <w:r w:rsidRPr="00D11C55">
        <w:rPr>
          <w:rFonts w:ascii="Times New Roman" w:hAnsi="Times New Roman" w:cs="Times New Roman"/>
          <w:i/>
          <w:iCs/>
          <w:lang w:val="en-US"/>
        </w:rPr>
        <w:t>23</w:t>
      </w:r>
      <w:r w:rsidRPr="00D11C55">
        <w:rPr>
          <w:rFonts w:ascii="Times New Roman" w:hAnsi="Times New Roman" w:cs="Times New Roman"/>
          <w:lang w:val="en-US"/>
        </w:rPr>
        <w:t>(1). https://doi.org/10.2196/17187</w:t>
      </w:r>
    </w:p>
    <w:p w14:paraId="46CE2506" w14:textId="334438EA" w:rsidR="00FE6723" w:rsidRPr="00FE6723" w:rsidRDefault="00D11C55" w:rsidP="00494E7A">
      <w:pPr>
        <w:pStyle w:val="Bibliography"/>
        <w:spacing w:line="360" w:lineRule="auto"/>
        <w:rPr>
          <w:rFonts w:ascii="Times New Roman" w:hAnsi="Times New Roman" w:cs="Times New Roman"/>
          <w:lang w:val="en-US"/>
        </w:rPr>
      </w:pPr>
      <w:proofErr w:type="spellStart"/>
      <w:r w:rsidRPr="00D11C55">
        <w:rPr>
          <w:rFonts w:ascii="Times New Roman" w:hAnsi="Times New Roman" w:cs="Times New Roman"/>
          <w:lang w:val="en-US"/>
        </w:rPr>
        <w:t>Tetroe</w:t>
      </w:r>
      <w:proofErr w:type="spellEnd"/>
      <w:r w:rsidRPr="00D11C55">
        <w:rPr>
          <w:rFonts w:ascii="Times New Roman" w:hAnsi="Times New Roman" w:cs="Times New Roman"/>
          <w:lang w:val="en-US"/>
        </w:rPr>
        <w:t xml:space="preserve">, J. M., Graham, I. D., Foy, R., Robinson, N., Eccles, M. P., </w:t>
      </w:r>
      <w:proofErr w:type="spellStart"/>
      <w:r w:rsidRPr="00D11C55">
        <w:rPr>
          <w:rFonts w:ascii="Times New Roman" w:hAnsi="Times New Roman" w:cs="Times New Roman"/>
          <w:lang w:val="en-US"/>
        </w:rPr>
        <w:t>Wensing</w:t>
      </w:r>
      <w:proofErr w:type="spellEnd"/>
      <w:r w:rsidRPr="00D11C55">
        <w:rPr>
          <w:rFonts w:ascii="Times New Roman" w:hAnsi="Times New Roman" w:cs="Times New Roman"/>
          <w:lang w:val="en-US"/>
        </w:rPr>
        <w:t xml:space="preserve">, M., Durieux, P., </w:t>
      </w:r>
      <w:proofErr w:type="spellStart"/>
      <w:r w:rsidRPr="00D11C55">
        <w:rPr>
          <w:rFonts w:ascii="Times New Roman" w:hAnsi="Times New Roman" w:cs="Times New Roman"/>
          <w:lang w:val="en-US"/>
        </w:rPr>
        <w:t>Légaré</w:t>
      </w:r>
      <w:proofErr w:type="spellEnd"/>
      <w:r w:rsidRPr="00D11C55">
        <w:rPr>
          <w:rFonts w:ascii="Times New Roman" w:hAnsi="Times New Roman" w:cs="Times New Roman"/>
          <w:lang w:val="en-US"/>
        </w:rPr>
        <w:t xml:space="preserve">, F., Nielson, C. P., </w:t>
      </w:r>
      <w:proofErr w:type="spellStart"/>
      <w:r w:rsidRPr="00D11C55">
        <w:rPr>
          <w:rFonts w:ascii="Times New Roman" w:hAnsi="Times New Roman" w:cs="Times New Roman"/>
          <w:lang w:val="en-US"/>
        </w:rPr>
        <w:t>Adily</w:t>
      </w:r>
      <w:proofErr w:type="spellEnd"/>
      <w:r w:rsidRPr="00D11C55">
        <w:rPr>
          <w:rFonts w:ascii="Times New Roman" w:hAnsi="Times New Roman" w:cs="Times New Roman"/>
          <w:lang w:val="en-US"/>
        </w:rPr>
        <w:t xml:space="preserve">, A., Ward, J. E., Porter, C., Shea, B., &amp; Grimshaw, J. M. (2008). Health research funding agencies’ support and promotion of knowledge </w:t>
      </w:r>
      <w:r w:rsidRPr="00FE6723">
        <w:rPr>
          <w:rFonts w:ascii="Times New Roman" w:hAnsi="Times New Roman" w:cs="Times New Roman"/>
          <w:lang w:val="en-US"/>
        </w:rPr>
        <w:t xml:space="preserve">translation: An international study. </w:t>
      </w:r>
      <w:r w:rsidRPr="00FE6723">
        <w:rPr>
          <w:rFonts w:ascii="Times New Roman" w:hAnsi="Times New Roman" w:cs="Times New Roman"/>
          <w:i/>
          <w:iCs/>
          <w:lang w:val="en-US"/>
        </w:rPr>
        <w:t>The Milbank Quarterly</w:t>
      </w:r>
      <w:r w:rsidRPr="00FE6723">
        <w:rPr>
          <w:rFonts w:ascii="Times New Roman" w:hAnsi="Times New Roman" w:cs="Times New Roman"/>
          <w:lang w:val="en-US"/>
        </w:rPr>
        <w:t xml:space="preserve">, </w:t>
      </w:r>
      <w:r w:rsidRPr="00FE6723">
        <w:rPr>
          <w:rFonts w:ascii="Times New Roman" w:hAnsi="Times New Roman" w:cs="Times New Roman"/>
          <w:i/>
          <w:iCs/>
          <w:lang w:val="en-US"/>
        </w:rPr>
        <w:t>86</w:t>
      </w:r>
      <w:r w:rsidRPr="00FE6723">
        <w:rPr>
          <w:rFonts w:ascii="Times New Roman" w:hAnsi="Times New Roman" w:cs="Times New Roman"/>
          <w:lang w:val="en-US"/>
        </w:rPr>
        <w:t xml:space="preserve">(1), 125–155. </w:t>
      </w:r>
      <w:r w:rsidR="00FE6723" w:rsidRPr="00623071">
        <w:rPr>
          <w:rFonts w:ascii="Times New Roman" w:hAnsi="Times New Roman" w:cs="Times New Roman"/>
          <w:lang w:val="en-US"/>
        </w:rPr>
        <w:t>https://doi.org/10.1111/j.1468-0009.2007.00515.x</w:t>
      </w:r>
    </w:p>
    <w:p w14:paraId="7960F98D" w14:textId="7ADAF74C" w:rsidR="00FE6723" w:rsidRPr="00FE6723" w:rsidRDefault="00FE6723" w:rsidP="00494E7A">
      <w:pPr>
        <w:pStyle w:val="Bibliography"/>
        <w:spacing w:line="360" w:lineRule="auto"/>
        <w:rPr>
          <w:rFonts w:ascii="Times New Roman" w:hAnsi="Times New Roman" w:cs="Times New Roman"/>
          <w:lang w:val="en-US"/>
        </w:rPr>
      </w:pPr>
      <w:proofErr w:type="spellStart"/>
      <w:r w:rsidRPr="00FE6723">
        <w:rPr>
          <w:rFonts w:ascii="Times New Roman" w:hAnsi="Times New Roman" w:cs="Times New Roman"/>
          <w:lang w:val="en-US"/>
        </w:rPr>
        <w:t>Treskova-Schwarzbach</w:t>
      </w:r>
      <w:proofErr w:type="spellEnd"/>
      <w:r w:rsidRPr="00FE6723">
        <w:rPr>
          <w:rFonts w:ascii="Times New Roman" w:hAnsi="Times New Roman" w:cs="Times New Roman"/>
          <w:lang w:val="en-US"/>
        </w:rPr>
        <w:t xml:space="preserve">, M., Haas, L., Reda, S., </w:t>
      </w:r>
      <w:proofErr w:type="spellStart"/>
      <w:r w:rsidRPr="00FE6723">
        <w:rPr>
          <w:rFonts w:ascii="Times New Roman" w:hAnsi="Times New Roman" w:cs="Times New Roman"/>
          <w:lang w:val="en-US"/>
        </w:rPr>
        <w:t>Pilic</w:t>
      </w:r>
      <w:proofErr w:type="spellEnd"/>
      <w:r w:rsidRPr="00FE6723">
        <w:rPr>
          <w:rFonts w:ascii="Times New Roman" w:hAnsi="Times New Roman" w:cs="Times New Roman"/>
          <w:lang w:val="en-US"/>
        </w:rPr>
        <w:t xml:space="preserve">, A., </w:t>
      </w:r>
      <w:proofErr w:type="spellStart"/>
      <w:r w:rsidRPr="00FE6723">
        <w:rPr>
          <w:rFonts w:ascii="Times New Roman" w:hAnsi="Times New Roman" w:cs="Times New Roman"/>
          <w:lang w:val="en-US"/>
        </w:rPr>
        <w:t>Borodova</w:t>
      </w:r>
      <w:proofErr w:type="spellEnd"/>
      <w:r w:rsidRPr="00FE6723">
        <w:rPr>
          <w:rFonts w:ascii="Times New Roman" w:hAnsi="Times New Roman" w:cs="Times New Roman"/>
          <w:lang w:val="en-US"/>
        </w:rPr>
        <w:t xml:space="preserve">, A., Karimi, K., Koch, J., Nygren, T., Scholz, S., </w:t>
      </w:r>
      <w:proofErr w:type="spellStart"/>
      <w:r w:rsidRPr="00FE6723">
        <w:rPr>
          <w:rFonts w:ascii="Times New Roman" w:hAnsi="Times New Roman" w:cs="Times New Roman"/>
          <w:lang w:val="en-US"/>
        </w:rPr>
        <w:t>Schönfeld</w:t>
      </w:r>
      <w:proofErr w:type="spellEnd"/>
      <w:r w:rsidRPr="00FE6723">
        <w:rPr>
          <w:rFonts w:ascii="Times New Roman" w:hAnsi="Times New Roman" w:cs="Times New Roman"/>
          <w:lang w:val="en-US"/>
        </w:rPr>
        <w:t xml:space="preserve">, V., </w:t>
      </w:r>
      <w:proofErr w:type="spellStart"/>
      <w:r w:rsidRPr="00FE6723">
        <w:rPr>
          <w:rFonts w:ascii="Times New Roman" w:hAnsi="Times New Roman" w:cs="Times New Roman"/>
          <w:lang w:val="en-US"/>
        </w:rPr>
        <w:t>Vygen</w:t>
      </w:r>
      <w:proofErr w:type="spellEnd"/>
      <w:r w:rsidRPr="00FE6723">
        <w:rPr>
          <w:rFonts w:ascii="Times New Roman" w:hAnsi="Times New Roman" w:cs="Times New Roman"/>
          <w:lang w:val="en-US"/>
        </w:rPr>
        <w:t xml:space="preserve">-Bonnet, S., Wichmann, O., &amp; Harder, T. </w:t>
      </w:r>
      <w:r w:rsidRPr="00FE6723">
        <w:rPr>
          <w:rFonts w:ascii="Times New Roman" w:hAnsi="Times New Roman" w:cs="Times New Roman"/>
          <w:lang w:val="en-US"/>
        </w:rPr>
        <w:lastRenderedPageBreak/>
        <w:t xml:space="preserve">(2021). Pre-existing health conditions and severe COVID-19 outcomes: An umbrella review approach and meta-analysis of global evidence. </w:t>
      </w:r>
      <w:r w:rsidRPr="00FE6723">
        <w:rPr>
          <w:rFonts w:ascii="Times New Roman" w:hAnsi="Times New Roman" w:cs="Times New Roman"/>
          <w:i/>
          <w:iCs/>
          <w:lang w:val="en-US"/>
        </w:rPr>
        <w:t>BMC Medicine, 19</w:t>
      </w:r>
      <w:r w:rsidRPr="00FE6723">
        <w:rPr>
          <w:rFonts w:ascii="Times New Roman" w:hAnsi="Times New Roman" w:cs="Times New Roman"/>
          <w:lang w:val="en-US"/>
        </w:rPr>
        <w:t xml:space="preserve">(21), 1-16. </w:t>
      </w:r>
      <w:r w:rsidRPr="00623071">
        <w:rPr>
          <w:rFonts w:ascii="Times New Roman" w:hAnsi="Times New Roman" w:cs="Times New Roman"/>
          <w:lang w:val="en-US"/>
        </w:rPr>
        <w:t>https://doi.org/10.1186/s12916-021-02058-6</w:t>
      </w:r>
      <w:r w:rsidRPr="00FE6723">
        <w:rPr>
          <w:rFonts w:ascii="Times New Roman" w:hAnsi="Times New Roman" w:cs="Times New Roman"/>
          <w:lang w:val="en-US"/>
        </w:rPr>
        <w:t xml:space="preserve"> </w:t>
      </w:r>
    </w:p>
    <w:p w14:paraId="454797CE" w14:textId="77777777" w:rsidR="00D11C55" w:rsidRPr="00D11C55" w:rsidRDefault="00D11C55" w:rsidP="00494E7A">
      <w:pPr>
        <w:pStyle w:val="Bibliography"/>
        <w:spacing w:line="360" w:lineRule="auto"/>
        <w:rPr>
          <w:rFonts w:ascii="Times New Roman" w:hAnsi="Times New Roman" w:cs="Times New Roman"/>
          <w:lang w:val="en-US"/>
        </w:rPr>
      </w:pPr>
      <w:r w:rsidRPr="00FE6723">
        <w:rPr>
          <w:rFonts w:ascii="Times New Roman" w:hAnsi="Times New Roman" w:cs="Times New Roman"/>
          <w:lang w:val="en-US"/>
        </w:rPr>
        <w:t>van Biljon, J., &amp; Osei-Bryson, K.-M. (2020). The communicative power of knowledge visualizations in mobilizing information and communication technology</w:t>
      </w:r>
      <w:r w:rsidRPr="00D11C55">
        <w:rPr>
          <w:rFonts w:ascii="Times New Roman" w:hAnsi="Times New Roman" w:cs="Times New Roman"/>
          <w:lang w:val="en-US"/>
        </w:rPr>
        <w:t xml:space="preserve"> research. </w:t>
      </w:r>
      <w:r w:rsidRPr="00D11C55">
        <w:rPr>
          <w:rFonts w:ascii="Times New Roman" w:hAnsi="Times New Roman" w:cs="Times New Roman"/>
          <w:i/>
          <w:iCs/>
          <w:lang w:val="en-US"/>
        </w:rPr>
        <w:t>Information Technology for Development</w:t>
      </w:r>
      <w:r w:rsidRPr="00D11C55">
        <w:rPr>
          <w:rFonts w:ascii="Times New Roman" w:hAnsi="Times New Roman" w:cs="Times New Roman"/>
          <w:lang w:val="en-US"/>
        </w:rPr>
        <w:t xml:space="preserve">, </w:t>
      </w:r>
      <w:r w:rsidRPr="00D11C55">
        <w:rPr>
          <w:rFonts w:ascii="Times New Roman" w:hAnsi="Times New Roman" w:cs="Times New Roman"/>
          <w:i/>
          <w:iCs/>
          <w:lang w:val="en-US"/>
        </w:rPr>
        <w:t>26</w:t>
      </w:r>
      <w:r w:rsidRPr="00D11C55">
        <w:rPr>
          <w:rFonts w:ascii="Times New Roman" w:hAnsi="Times New Roman" w:cs="Times New Roman"/>
          <w:lang w:val="en-US"/>
        </w:rPr>
        <w:t>(4), 637–652. https://doi.org/10.1080/02681102.2020.1821954</w:t>
      </w:r>
    </w:p>
    <w:p w14:paraId="6697A428" w14:textId="77777777" w:rsidR="00D11C55" w:rsidRPr="00D11C55" w:rsidRDefault="00D11C55" w:rsidP="00494E7A">
      <w:pPr>
        <w:pStyle w:val="Bibliography"/>
        <w:spacing w:line="360" w:lineRule="auto"/>
        <w:rPr>
          <w:rFonts w:ascii="Times New Roman" w:hAnsi="Times New Roman" w:cs="Times New Roman"/>
          <w:lang w:val="fr-CA"/>
        </w:rPr>
      </w:pPr>
      <w:proofErr w:type="spellStart"/>
      <w:r w:rsidRPr="00D11C55">
        <w:rPr>
          <w:rFonts w:ascii="Times New Roman" w:hAnsi="Times New Roman" w:cs="Times New Roman"/>
          <w:lang w:val="en-US"/>
        </w:rPr>
        <w:t>Vosoughi</w:t>
      </w:r>
      <w:proofErr w:type="spellEnd"/>
      <w:r w:rsidRPr="00D11C55">
        <w:rPr>
          <w:rFonts w:ascii="Times New Roman" w:hAnsi="Times New Roman" w:cs="Times New Roman"/>
          <w:lang w:val="en-US"/>
        </w:rPr>
        <w:t xml:space="preserve">, S., Roy, D., &amp; Aral, S. (2018). The spread of true and false news online. </w:t>
      </w:r>
      <w:r w:rsidRPr="00D11C55">
        <w:rPr>
          <w:rFonts w:ascii="Times New Roman" w:hAnsi="Times New Roman" w:cs="Times New Roman"/>
          <w:i/>
          <w:iCs/>
          <w:lang w:val="fr-CA"/>
        </w:rPr>
        <w:t>Science</w:t>
      </w:r>
      <w:r w:rsidRPr="00D11C55">
        <w:rPr>
          <w:rFonts w:ascii="Times New Roman" w:hAnsi="Times New Roman" w:cs="Times New Roman"/>
          <w:lang w:val="fr-CA"/>
        </w:rPr>
        <w:t xml:space="preserve">, </w:t>
      </w:r>
      <w:r w:rsidRPr="00D11C55">
        <w:rPr>
          <w:rFonts w:ascii="Times New Roman" w:hAnsi="Times New Roman" w:cs="Times New Roman"/>
          <w:i/>
          <w:iCs/>
          <w:lang w:val="fr-CA"/>
        </w:rPr>
        <w:t>359</w:t>
      </w:r>
      <w:r w:rsidRPr="00D11C55">
        <w:rPr>
          <w:rFonts w:ascii="Times New Roman" w:hAnsi="Times New Roman" w:cs="Times New Roman"/>
          <w:lang w:val="fr-CA"/>
        </w:rPr>
        <w:t>(6380), 1146–1151. https://doi.org/10.1126/science.aap9559</w:t>
      </w:r>
    </w:p>
    <w:p w14:paraId="62818911" w14:textId="77777777" w:rsidR="00D11C55" w:rsidRPr="00D11C55" w:rsidRDefault="00D11C55" w:rsidP="00494E7A">
      <w:pPr>
        <w:pStyle w:val="Bibliography"/>
        <w:spacing w:line="360" w:lineRule="auto"/>
        <w:rPr>
          <w:rFonts w:ascii="Times New Roman" w:hAnsi="Times New Roman" w:cs="Times New Roman"/>
          <w:lang w:val="en-US"/>
        </w:rPr>
      </w:pPr>
      <w:proofErr w:type="spellStart"/>
      <w:r w:rsidRPr="00D11C55">
        <w:rPr>
          <w:rFonts w:ascii="Times New Roman" w:hAnsi="Times New Roman" w:cs="Times New Roman"/>
          <w:lang w:val="fr-CA"/>
        </w:rPr>
        <w:t>Xiong</w:t>
      </w:r>
      <w:proofErr w:type="spellEnd"/>
      <w:r w:rsidRPr="00D11C55">
        <w:rPr>
          <w:rFonts w:ascii="Times New Roman" w:hAnsi="Times New Roman" w:cs="Times New Roman"/>
          <w:lang w:val="fr-CA"/>
        </w:rPr>
        <w:t xml:space="preserve">, F., &amp; Liu, Y. (2014). </w:t>
      </w:r>
      <w:r w:rsidRPr="00D11C55">
        <w:rPr>
          <w:rFonts w:ascii="Times New Roman" w:hAnsi="Times New Roman" w:cs="Times New Roman"/>
          <w:lang w:val="en-US"/>
        </w:rPr>
        <w:t xml:space="preserve">Opinion formation on social media: An empirical approach. </w:t>
      </w:r>
      <w:r w:rsidRPr="00D11C55">
        <w:rPr>
          <w:rFonts w:ascii="Times New Roman" w:hAnsi="Times New Roman" w:cs="Times New Roman"/>
          <w:i/>
          <w:iCs/>
          <w:lang w:val="en-US"/>
        </w:rPr>
        <w:t>Chaos: An Interdisciplinary Journal of Nonlinear Science</w:t>
      </w:r>
      <w:r w:rsidRPr="00D11C55">
        <w:rPr>
          <w:rFonts w:ascii="Times New Roman" w:hAnsi="Times New Roman" w:cs="Times New Roman"/>
          <w:lang w:val="en-US"/>
        </w:rPr>
        <w:t xml:space="preserve">, </w:t>
      </w:r>
      <w:r w:rsidRPr="00D11C55">
        <w:rPr>
          <w:rFonts w:ascii="Times New Roman" w:hAnsi="Times New Roman" w:cs="Times New Roman"/>
          <w:i/>
          <w:iCs/>
          <w:lang w:val="en-US"/>
        </w:rPr>
        <w:t>24</w:t>
      </w:r>
      <w:r w:rsidRPr="00D11C55">
        <w:rPr>
          <w:rFonts w:ascii="Times New Roman" w:hAnsi="Times New Roman" w:cs="Times New Roman"/>
          <w:lang w:val="en-US"/>
        </w:rPr>
        <w:t>(1), 013130. https://doi.org/10.1063/1.4866011</w:t>
      </w:r>
    </w:p>
    <w:p w14:paraId="51A71285" w14:textId="77777777" w:rsidR="00D11C55" w:rsidRDefault="00D11C55" w:rsidP="00494E7A">
      <w:pPr>
        <w:spacing w:line="360" w:lineRule="auto"/>
        <w:rPr>
          <w:b/>
          <w:bCs/>
          <w:noProof/>
        </w:rPr>
      </w:pPr>
    </w:p>
    <w:p w14:paraId="3BF19624" w14:textId="3F48BE68" w:rsidR="00CF134B" w:rsidRPr="00CF134B" w:rsidRDefault="00CF134B" w:rsidP="00494E7A">
      <w:pPr>
        <w:spacing w:line="360" w:lineRule="auto"/>
        <w:rPr>
          <w:noProof/>
        </w:rPr>
      </w:pPr>
    </w:p>
    <w:sectPr w:rsidR="00CF134B" w:rsidRPr="00CF134B">
      <w:headerReference w:type="even" r:id="rId10"/>
      <w:head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3BA11" w14:textId="77777777" w:rsidR="007D52F8" w:rsidRDefault="007D52F8" w:rsidP="00674A58">
      <w:r>
        <w:separator/>
      </w:r>
    </w:p>
  </w:endnote>
  <w:endnote w:type="continuationSeparator" w:id="0">
    <w:p w14:paraId="2F982E02" w14:textId="77777777" w:rsidR="007D52F8" w:rsidRDefault="007D52F8" w:rsidP="00674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EBD83" w14:textId="77777777" w:rsidR="007D52F8" w:rsidRDefault="007D52F8" w:rsidP="00674A58">
      <w:r>
        <w:separator/>
      </w:r>
    </w:p>
  </w:footnote>
  <w:footnote w:type="continuationSeparator" w:id="0">
    <w:p w14:paraId="7E1D3C54" w14:textId="77777777" w:rsidR="007D52F8" w:rsidRDefault="007D52F8" w:rsidP="00674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1962482"/>
      <w:docPartObj>
        <w:docPartGallery w:val="Page Numbers (Top of Page)"/>
        <w:docPartUnique/>
      </w:docPartObj>
    </w:sdtPr>
    <w:sdtContent>
      <w:p w14:paraId="3B9DE6B3" w14:textId="56CD74FE" w:rsidR="00674A58" w:rsidRDefault="00674A58" w:rsidP="00D45F1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6D2CC4" w14:textId="77777777" w:rsidR="00674A58" w:rsidRDefault="00674A58" w:rsidP="00674A5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67072474"/>
      <w:docPartObj>
        <w:docPartGallery w:val="Page Numbers (Top of Page)"/>
        <w:docPartUnique/>
      </w:docPartObj>
    </w:sdtPr>
    <w:sdtContent>
      <w:p w14:paraId="408F2EF0" w14:textId="554FAD6A" w:rsidR="00674A58" w:rsidRPr="00674A58" w:rsidRDefault="00674A58" w:rsidP="00D45F17">
        <w:pPr>
          <w:pStyle w:val="Header"/>
          <w:framePr w:wrap="none" w:vAnchor="text" w:hAnchor="margin" w:xAlign="right" w:y="1"/>
          <w:rPr>
            <w:rStyle w:val="PageNumber"/>
            <w:rFonts w:ascii="Times New Roman" w:hAnsi="Times New Roman" w:cs="Times New Roman"/>
          </w:rPr>
        </w:pPr>
        <w:r w:rsidRPr="00674A58">
          <w:rPr>
            <w:rStyle w:val="PageNumber"/>
            <w:rFonts w:ascii="Times New Roman" w:hAnsi="Times New Roman" w:cs="Times New Roman"/>
          </w:rPr>
          <w:fldChar w:fldCharType="begin"/>
        </w:r>
        <w:r w:rsidRPr="00674A58">
          <w:rPr>
            <w:rStyle w:val="PageNumber"/>
            <w:rFonts w:ascii="Times New Roman" w:hAnsi="Times New Roman" w:cs="Times New Roman"/>
          </w:rPr>
          <w:instrText xml:space="preserve"> PAGE </w:instrText>
        </w:r>
        <w:r w:rsidRPr="00674A58">
          <w:rPr>
            <w:rStyle w:val="PageNumber"/>
            <w:rFonts w:ascii="Times New Roman" w:hAnsi="Times New Roman" w:cs="Times New Roman"/>
          </w:rPr>
          <w:fldChar w:fldCharType="separate"/>
        </w:r>
        <w:r w:rsidRPr="00674A58">
          <w:rPr>
            <w:rStyle w:val="PageNumber"/>
            <w:rFonts w:ascii="Times New Roman" w:hAnsi="Times New Roman" w:cs="Times New Roman"/>
            <w:noProof/>
          </w:rPr>
          <w:t>1</w:t>
        </w:r>
        <w:r w:rsidRPr="00674A58">
          <w:rPr>
            <w:rStyle w:val="PageNumber"/>
            <w:rFonts w:ascii="Times New Roman" w:hAnsi="Times New Roman" w:cs="Times New Roman"/>
          </w:rPr>
          <w:fldChar w:fldCharType="end"/>
        </w:r>
      </w:p>
    </w:sdtContent>
  </w:sdt>
  <w:p w14:paraId="617EFF22" w14:textId="77777777" w:rsidR="00674A58" w:rsidRDefault="00674A58" w:rsidP="00674A5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B536A"/>
    <w:multiLevelType w:val="hybridMultilevel"/>
    <w:tmpl w:val="D6A4CDDA"/>
    <w:lvl w:ilvl="0" w:tplc="862CA5A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344094"/>
    <w:multiLevelType w:val="hybridMultilevel"/>
    <w:tmpl w:val="157690E6"/>
    <w:lvl w:ilvl="0" w:tplc="1862E79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7D6779"/>
    <w:multiLevelType w:val="hybridMultilevel"/>
    <w:tmpl w:val="50EAAFBA"/>
    <w:lvl w:ilvl="0" w:tplc="7466CA16">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8C269A"/>
    <w:multiLevelType w:val="multilevel"/>
    <w:tmpl w:val="40F8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09A3A04"/>
    <w:multiLevelType w:val="hybridMultilevel"/>
    <w:tmpl w:val="EC0E81CA"/>
    <w:lvl w:ilvl="0" w:tplc="64BC1072">
      <w:start w:val="5"/>
      <w:numFmt w:val="bullet"/>
      <w:lvlText w:val="•"/>
      <w:lvlJc w:val="left"/>
      <w:pPr>
        <w:ind w:left="720" w:hanging="360"/>
      </w:pPr>
      <w:rPr>
        <w:rFonts w:ascii="Calibri" w:eastAsiaTheme="minorHAnsi" w:hAnsi="Calibri" w:cs="Calibri"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B2542A"/>
    <w:multiLevelType w:val="hybridMultilevel"/>
    <w:tmpl w:val="0994C594"/>
    <w:lvl w:ilvl="0" w:tplc="D5A0FA62">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7872290">
    <w:abstractNumId w:val="2"/>
  </w:num>
  <w:num w:numId="2" w16cid:durableId="1935900001">
    <w:abstractNumId w:val="3"/>
  </w:num>
  <w:num w:numId="3" w16cid:durableId="1343050017">
    <w:abstractNumId w:val="4"/>
  </w:num>
  <w:num w:numId="4" w16cid:durableId="1887136494">
    <w:abstractNumId w:val="1"/>
  </w:num>
  <w:num w:numId="5" w16cid:durableId="754088229">
    <w:abstractNumId w:val="0"/>
  </w:num>
  <w:num w:numId="6" w16cid:durableId="13013756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396"/>
    <w:rsid w:val="0003559F"/>
    <w:rsid w:val="000369F4"/>
    <w:rsid w:val="000B66CE"/>
    <w:rsid w:val="000C6638"/>
    <w:rsid w:val="000F48EC"/>
    <w:rsid w:val="00101D40"/>
    <w:rsid w:val="00121745"/>
    <w:rsid w:val="0017746D"/>
    <w:rsid w:val="00193E69"/>
    <w:rsid w:val="001D2A35"/>
    <w:rsid w:val="001D5E6B"/>
    <w:rsid w:val="002018BE"/>
    <w:rsid w:val="002065FC"/>
    <w:rsid w:val="00214BBB"/>
    <w:rsid w:val="00217857"/>
    <w:rsid w:val="00233684"/>
    <w:rsid w:val="0025628C"/>
    <w:rsid w:val="00261D53"/>
    <w:rsid w:val="002632C9"/>
    <w:rsid w:val="002769CB"/>
    <w:rsid w:val="00276C3A"/>
    <w:rsid w:val="00280270"/>
    <w:rsid w:val="002A3D85"/>
    <w:rsid w:val="002B6D93"/>
    <w:rsid w:val="002B6E6F"/>
    <w:rsid w:val="002F1995"/>
    <w:rsid w:val="002F55A3"/>
    <w:rsid w:val="00303D0B"/>
    <w:rsid w:val="00343203"/>
    <w:rsid w:val="00372C5B"/>
    <w:rsid w:val="003863EE"/>
    <w:rsid w:val="003C1FFC"/>
    <w:rsid w:val="003F0C78"/>
    <w:rsid w:val="00413F12"/>
    <w:rsid w:val="00423836"/>
    <w:rsid w:val="00432168"/>
    <w:rsid w:val="00432E50"/>
    <w:rsid w:val="00467677"/>
    <w:rsid w:val="00494E7A"/>
    <w:rsid w:val="004A3406"/>
    <w:rsid w:val="004B0A12"/>
    <w:rsid w:val="004B5209"/>
    <w:rsid w:val="004E6871"/>
    <w:rsid w:val="004F6C25"/>
    <w:rsid w:val="004F7E92"/>
    <w:rsid w:val="0055681C"/>
    <w:rsid w:val="00593057"/>
    <w:rsid w:val="005933AE"/>
    <w:rsid w:val="005D5D06"/>
    <w:rsid w:val="005E5D36"/>
    <w:rsid w:val="005E7852"/>
    <w:rsid w:val="005F093E"/>
    <w:rsid w:val="005F2770"/>
    <w:rsid w:val="00623071"/>
    <w:rsid w:val="00642A8A"/>
    <w:rsid w:val="00662D9A"/>
    <w:rsid w:val="0066602C"/>
    <w:rsid w:val="00673DF3"/>
    <w:rsid w:val="00674A58"/>
    <w:rsid w:val="00674D82"/>
    <w:rsid w:val="00680282"/>
    <w:rsid w:val="00685E7D"/>
    <w:rsid w:val="006B1ED6"/>
    <w:rsid w:val="006C3014"/>
    <w:rsid w:val="006D52F3"/>
    <w:rsid w:val="006E4489"/>
    <w:rsid w:val="006E4550"/>
    <w:rsid w:val="006F6826"/>
    <w:rsid w:val="00704FE1"/>
    <w:rsid w:val="00706448"/>
    <w:rsid w:val="007151E1"/>
    <w:rsid w:val="00747DDA"/>
    <w:rsid w:val="00764531"/>
    <w:rsid w:val="007B0107"/>
    <w:rsid w:val="007B2A88"/>
    <w:rsid w:val="007D52F8"/>
    <w:rsid w:val="008035E8"/>
    <w:rsid w:val="00831775"/>
    <w:rsid w:val="008A6941"/>
    <w:rsid w:val="008C3EF0"/>
    <w:rsid w:val="008D15C1"/>
    <w:rsid w:val="00903A8B"/>
    <w:rsid w:val="00922DC1"/>
    <w:rsid w:val="009319BF"/>
    <w:rsid w:val="009513F5"/>
    <w:rsid w:val="0098058E"/>
    <w:rsid w:val="009A083F"/>
    <w:rsid w:val="009D3AFA"/>
    <w:rsid w:val="009E5CB0"/>
    <w:rsid w:val="009F63A0"/>
    <w:rsid w:val="00A26DAC"/>
    <w:rsid w:val="00A41E2E"/>
    <w:rsid w:val="00A4645F"/>
    <w:rsid w:val="00AA3E52"/>
    <w:rsid w:val="00AA5748"/>
    <w:rsid w:val="00AB6491"/>
    <w:rsid w:val="00AE1A56"/>
    <w:rsid w:val="00B000D3"/>
    <w:rsid w:val="00B10474"/>
    <w:rsid w:val="00B34809"/>
    <w:rsid w:val="00B537B2"/>
    <w:rsid w:val="00C26C3D"/>
    <w:rsid w:val="00C42A64"/>
    <w:rsid w:val="00C444F4"/>
    <w:rsid w:val="00C47167"/>
    <w:rsid w:val="00C9123E"/>
    <w:rsid w:val="00C957E6"/>
    <w:rsid w:val="00C96AE4"/>
    <w:rsid w:val="00CC0180"/>
    <w:rsid w:val="00CD4FD6"/>
    <w:rsid w:val="00CE5C1E"/>
    <w:rsid w:val="00CE7AD6"/>
    <w:rsid w:val="00CF134B"/>
    <w:rsid w:val="00D11C55"/>
    <w:rsid w:val="00D312F9"/>
    <w:rsid w:val="00D34612"/>
    <w:rsid w:val="00D61D66"/>
    <w:rsid w:val="00D8248D"/>
    <w:rsid w:val="00D9382C"/>
    <w:rsid w:val="00DA6C5F"/>
    <w:rsid w:val="00DA7396"/>
    <w:rsid w:val="00DB2E70"/>
    <w:rsid w:val="00DC6ECA"/>
    <w:rsid w:val="00DE7183"/>
    <w:rsid w:val="00E1067A"/>
    <w:rsid w:val="00E437A9"/>
    <w:rsid w:val="00E46ACF"/>
    <w:rsid w:val="00E50658"/>
    <w:rsid w:val="00E633BA"/>
    <w:rsid w:val="00E97D07"/>
    <w:rsid w:val="00EB72EC"/>
    <w:rsid w:val="00EE77B3"/>
    <w:rsid w:val="00F11FC9"/>
    <w:rsid w:val="00F52673"/>
    <w:rsid w:val="00F64C66"/>
    <w:rsid w:val="00F70916"/>
    <w:rsid w:val="00F7463A"/>
    <w:rsid w:val="00FA0493"/>
    <w:rsid w:val="00FE67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A1E86"/>
  <w15:chartTrackingRefBased/>
  <w15:docId w15:val="{963B7D1F-61BF-3748-B721-237785A78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2EC"/>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4A58"/>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674A58"/>
  </w:style>
  <w:style w:type="paragraph" w:styleId="Footer">
    <w:name w:val="footer"/>
    <w:basedOn w:val="Normal"/>
    <w:link w:val="FooterChar"/>
    <w:uiPriority w:val="99"/>
    <w:unhideWhenUsed/>
    <w:rsid w:val="00674A58"/>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674A58"/>
  </w:style>
  <w:style w:type="character" w:styleId="PageNumber">
    <w:name w:val="page number"/>
    <w:basedOn w:val="DefaultParagraphFont"/>
    <w:uiPriority w:val="99"/>
    <w:semiHidden/>
    <w:unhideWhenUsed/>
    <w:rsid w:val="00674A58"/>
  </w:style>
  <w:style w:type="paragraph" w:styleId="ListParagraph">
    <w:name w:val="List Paragraph"/>
    <w:basedOn w:val="Normal"/>
    <w:uiPriority w:val="34"/>
    <w:qFormat/>
    <w:rsid w:val="0003559F"/>
    <w:pPr>
      <w:ind w:left="720"/>
      <w:contextualSpacing/>
    </w:pPr>
    <w:rPr>
      <w:rFonts w:asciiTheme="minorHAnsi" w:eastAsiaTheme="minorHAnsi" w:hAnsiTheme="minorHAnsi" w:cstheme="minorBidi"/>
      <w:kern w:val="2"/>
      <w14:ligatures w14:val="standardContextual"/>
    </w:rPr>
  </w:style>
  <w:style w:type="character" w:styleId="Hyperlink">
    <w:name w:val="Hyperlink"/>
    <w:basedOn w:val="DefaultParagraphFont"/>
    <w:uiPriority w:val="99"/>
    <w:unhideWhenUsed/>
    <w:rsid w:val="009D3AFA"/>
    <w:rPr>
      <w:color w:val="0563C1" w:themeColor="hyperlink"/>
      <w:u w:val="single"/>
    </w:rPr>
  </w:style>
  <w:style w:type="character" w:styleId="UnresolvedMention">
    <w:name w:val="Unresolved Mention"/>
    <w:basedOn w:val="DefaultParagraphFont"/>
    <w:uiPriority w:val="99"/>
    <w:semiHidden/>
    <w:unhideWhenUsed/>
    <w:rsid w:val="009D3AFA"/>
    <w:rPr>
      <w:color w:val="605E5C"/>
      <w:shd w:val="clear" w:color="auto" w:fill="E1DFDD"/>
    </w:rPr>
  </w:style>
  <w:style w:type="character" w:styleId="CommentReference">
    <w:name w:val="annotation reference"/>
    <w:basedOn w:val="DefaultParagraphFont"/>
    <w:uiPriority w:val="99"/>
    <w:semiHidden/>
    <w:unhideWhenUsed/>
    <w:rsid w:val="00AE1A56"/>
    <w:rPr>
      <w:sz w:val="16"/>
      <w:szCs w:val="16"/>
    </w:rPr>
  </w:style>
  <w:style w:type="paragraph" w:styleId="CommentText">
    <w:name w:val="annotation text"/>
    <w:basedOn w:val="Normal"/>
    <w:link w:val="CommentTextChar"/>
    <w:uiPriority w:val="99"/>
    <w:semiHidden/>
    <w:unhideWhenUsed/>
    <w:rsid w:val="00AE1A56"/>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semiHidden/>
    <w:rsid w:val="00AE1A56"/>
    <w:rPr>
      <w:sz w:val="20"/>
      <w:szCs w:val="20"/>
    </w:rPr>
  </w:style>
  <w:style w:type="paragraph" w:styleId="CommentSubject">
    <w:name w:val="annotation subject"/>
    <w:basedOn w:val="CommentText"/>
    <w:next w:val="CommentText"/>
    <w:link w:val="CommentSubjectChar"/>
    <w:uiPriority w:val="99"/>
    <w:semiHidden/>
    <w:unhideWhenUsed/>
    <w:rsid w:val="00AE1A56"/>
    <w:rPr>
      <w:b/>
      <w:bCs/>
    </w:rPr>
  </w:style>
  <w:style w:type="character" w:customStyle="1" w:styleId="CommentSubjectChar">
    <w:name w:val="Comment Subject Char"/>
    <w:basedOn w:val="CommentTextChar"/>
    <w:link w:val="CommentSubject"/>
    <w:uiPriority w:val="99"/>
    <w:semiHidden/>
    <w:rsid w:val="00AE1A56"/>
    <w:rPr>
      <w:b/>
      <w:bCs/>
      <w:sz w:val="20"/>
      <w:szCs w:val="20"/>
    </w:rPr>
  </w:style>
  <w:style w:type="table" w:styleId="TableGrid">
    <w:name w:val="Table Grid"/>
    <w:basedOn w:val="TableNormal"/>
    <w:uiPriority w:val="39"/>
    <w:rsid w:val="006F6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B2E70"/>
    <w:rPr>
      <w:color w:val="954F72" w:themeColor="followedHyperlink"/>
      <w:u w:val="single"/>
    </w:rPr>
  </w:style>
  <w:style w:type="paragraph" w:styleId="Bibliography">
    <w:name w:val="Bibliography"/>
    <w:basedOn w:val="Normal"/>
    <w:next w:val="Normal"/>
    <w:uiPriority w:val="37"/>
    <w:unhideWhenUsed/>
    <w:rsid w:val="00D11C55"/>
    <w:pPr>
      <w:spacing w:line="480" w:lineRule="auto"/>
      <w:ind w:left="720" w:hanging="720"/>
    </w:pPr>
    <w:rPr>
      <w:rFonts w:asciiTheme="minorHAnsi" w:eastAsiaTheme="minorHAnsi" w:hAnsiTheme="minorHAnsi" w:cstheme="minorBidi"/>
      <w:kern w:val="2"/>
      <w14:ligatures w14:val="standardContextual"/>
    </w:rPr>
  </w:style>
  <w:style w:type="paragraph" w:styleId="NormalWeb">
    <w:name w:val="Normal (Web)"/>
    <w:basedOn w:val="Normal"/>
    <w:uiPriority w:val="99"/>
    <w:semiHidden/>
    <w:unhideWhenUsed/>
    <w:rsid w:val="00EB72EC"/>
    <w:pPr>
      <w:spacing w:before="100" w:beforeAutospacing="1" w:after="100" w:afterAutospacing="1"/>
    </w:pPr>
  </w:style>
  <w:style w:type="character" w:customStyle="1" w:styleId="flex-grow">
    <w:name w:val="flex-grow"/>
    <w:basedOn w:val="DefaultParagraphFont"/>
    <w:rsid w:val="00EB72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7471527">
      <w:bodyDiv w:val="1"/>
      <w:marLeft w:val="0"/>
      <w:marRight w:val="0"/>
      <w:marTop w:val="0"/>
      <w:marBottom w:val="0"/>
      <w:divBdr>
        <w:top w:val="none" w:sz="0" w:space="0" w:color="auto"/>
        <w:left w:val="none" w:sz="0" w:space="0" w:color="auto"/>
        <w:bottom w:val="none" w:sz="0" w:space="0" w:color="auto"/>
        <w:right w:val="none" w:sz="0" w:space="0" w:color="auto"/>
      </w:divBdr>
      <w:divsChild>
        <w:div w:id="541283727">
          <w:marLeft w:val="0"/>
          <w:marRight w:val="0"/>
          <w:marTop w:val="0"/>
          <w:marBottom w:val="0"/>
          <w:divBdr>
            <w:top w:val="single" w:sz="2" w:space="0" w:color="E3E3E3"/>
            <w:left w:val="single" w:sz="2" w:space="0" w:color="E3E3E3"/>
            <w:bottom w:val="single" w:sz="2" w:space="0" w:color="E3E3E3"/>
            <w:right w:val="single" w:sz="2" w:space="0" w:color="E3E3E3"/>
          </w:divBdr>
          <w:divsChild>
            <w:div w:id="594633232">
              <w:marLeft w:val="0"/>
              <w:marRight w:val="0"/>
              <w:marTop w:val="0"/>
              <w:marBottom w:val="0"/>
              <w:divBdr>
                <w:top w:val="single" w:sz="2" w:space="0" w:color="E3E3E3"/>
                <w:left w:val="single" w:sz="2" w:space="0" w:color="E3E3E3"/>
                <w:bottom w:val="single" w:sz="2" w:space="0" w:color="E3E3E3"/>
                <w:right w:val="single" w:sz="2" w:space="0" w:color="E3E3E3"/>
              </w:divBdr>
              <w:divsChild>
                <w:div w:id="410551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08212130">
          <w:marLeft w:val="0"/>
          <w:marRight w:val="0"/>
          <w:marTop w:val="0"/>
          <w:marBottom w:val="0"/>
          <w:divBdr>
            <w:top w:val="single" w:sz="2" w:space="0" w:color="E3E3E3"/>
            <w:left w:val="single" w:sz="2" w:space="0" w:color="E3E3E3"/>
            <w:bottom w:val="single" w:sz="2" w:space="0" w:color="E3E3E3"/>
            <w:right w:val="single" w:sz="2" w:space="0" w:color="E3E3E3"/>
          </w:divBdr>
          <w:divsChild>
            <w:div w:id="1897350781">
              <w:marLeft w:val="0"/>
              <w:marRight w:val="0"/>
              <w:marTop w:val="0"/>
              <w:marBottom w:val="0"/>
              <w:divBdr>
                <w:top w:val="single" w:sz="2" w:space="0" w:color="E3E3E3"/>
                <w:left w:val="single" w:sz="2" w:space="0" w:color="E3E3E3"/>
                <w:bottom w:val="single" w:sz="2" w:space="0" w:color="E3E3E3"/>
                <w:right w:val="single" w:sz="2" w:space="0" w:color="E3E3E3"/>
              </w:divBdr>
            </w:div>
            <w:div w:id="1019889348">
              <w:marLeft w:val="0"/>
              <w:marRight w:val="0"/>
              <w:marTop w:val="0"/>
              <w:marBottom w:val="0"/>
              <w:divBdr>
                <w:top w:val="single" w:sz="2" w:space="0" w:color="E3E3E3"/>
                <w:left w:val="single" w:sz="2" w:space="0" w:color="E3E3E3"/>
                <w:bottom w:val="single" w:sz="2" w:space="0" w:color="E3E3E3"/>
                <w:right w:val="single" w:sz="2" w:space="0" w:color="E3E3E3"/>
              </w:divBdr>
              <w:divsChild>
                <w:div w:id="13564930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3087</Words>
  <Characters>17601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Blumberg</dc:creator>
  <cp:keywords/>
  <dc:description/>
  <cp:lastModifiedBy>Michelle Blumberg</cp:lastModifiedBy>
  <cp:revision>3</cp:revision>
  <dcterms:created xsi:type="dcterms:W3CDTF">2024-04-15T16:07:00Z</dcterms:created>
  <dcterms:modified xsi:type="dcterms:W3CDTF">2024-04-15T16:08:00Z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id="Nz6rQ5Cr"/&gt;&lt;style id="http://www.zotero.org/styles/apa" locale="en-CA"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